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EEF8B1">
      <w:pPr>
        <w:ind w:firstLine="1687"/>
        <w:jc w:val="center"/>
        <w:rPr>
          <w:rFonts w:hint="eastAsia" w:ascii="宋体" w:hAnsi="宋体" w:eastAsia="宋体" w:cs="宋体"/>
          <w:b/>
          <w:color w:val="auto"/>
          <w:sz w:val="84"/>
          <w:szCs w:val="21"/>
          <w:highlight w:val="none"/>
        </w:rPr>
      </w:pPr>
    </w:p>
    <w:p w14:paraId="7F0A08B6">
      <w:pPr>
        <w:ind w:firstLine="1687"/>
        <w:jc w:val="center"/>
        <w:rPr>
          <w:rFonts w:hint="eastAsia" w:ascii="宋体" w:hAnsi="宋体" w:eastAsia="宋体" w:cs="宋体"/>
          <w:b/>
          <w:color w:val="auto"/>
          <w:sz w:val="84"/>
          <w:szCs w:val="21"/>
          <w:highlight w:val="none"/>
        </w:rPr>
      </w:pPr>
    </w:p>
    <w:p w14:paraId="677973C4">
      <w:pPr>
        <w:jc w:val="center"/>
        <w:rPr>
          <w:rFonts w:hint="eastAsia" w:ascii="宋体" w:hAnsi="宋体" w:eastAsia="宋体" w:cs="宋体"/>
          <w:b/>
          <w:color w:val="auto"/>
          <w:sz w:val="84"/>
          <w:szCs w:val="21"/>
          <w:highlight w:val="none"/>
        </w:rPr>
      </w:pPr>
      <w:r>
        <w:rPr>
          <w:rFonts w:hint="eastAsia" w:ascii="宋体" w:hAnsi="宋体" w:eastAsia="宋体" w:cs="宋体"/>
          <w:b/>
          <w:color w:val="auto"/>
          <w:sz w:val="84"/>
          <w:szCs w:val="21"/>
          <w:highlight w:val="none"/>
        </w:rPr>
        <w:t>招 标 文 件</w:t>
      </w:r>
    </w:p>
    <w:p w14:paraId="361F83E0">
      <w:pPr>
        <w:ind w:firstLine="643"/>
        <w:jc w:val="center"/>
        <w:rPr>
          <w:rFonts w:hint="eastAsia" w:ascii="宋体" w:hAnsi="宋体" w:eastAsia="宋体" w:cs="宋体"/>
          <w:b/>
          <w:color w:val="auto"/>
          <w:sz w:val="32"/>
          <w:szCs w:val="21"/>
          <w:highlight w:val="none"/>
        </w:rPr>
      </w:pPr>
    </w:p>
    <w:p w14:paraId="650F8502">
      <w:pPr>
        <w:ind w:firstLine="643"/>
        <w:jc w:val="center"/>
        <w:rPr>
          <w:rFonts w:hint="eastAsia" w:ascii="宋体" w:hAnsi="宋体" w:eastAsia="宋体" w:cs="宋体"/>
          <w:b/>
          <w:color w:val="auto"/>
          <w:sz w:val="32"/>
          <w:szCs w:val="21"/>
          <w:highlight w:val="none"/>
        </w:rPr>
      </w:pPr>
    </w:p>
    <w:p w14:paraId="74BF8B93">
      <w:pPr>
        <w:ind w:firstLine="643"/>
        <w:jc w:val="center"/>
        <w:rPr>
          <w:rFonts w:hint="eastAsia" w:ascii="宋体" w:hAnsi="宋体" w:eastAsia="宋体" w:cs="宋体"/>
          <w:b/>
          <w:color w:val="auto"/>
          <w:sz w:val="32"/>
          <w:szCs w:val="21"/>
          <w:highlight w:val="none"/>
        </w:rPr>
      </w:pPr>
    </w:p>
    <w:p w14:paraId="4DE8A2F9">
      <w:pPr>
        <w:spacing w:before="120" w:after="120" w:line="360" w:lineRule="auto"/>
        <w:ind w:firstLine="723"/>
        <w:jc w:val="center"/>
        <w:rPr>
          <w:rFonts w:hint="eastAsia" w:ascii="宋体" w:hAnsi="宋体" w:eastAsia="宋体" w:cs="宋体"/>
          <w:b/>
          <w:color w:val="auto"/>
          <w:sz w:val="36"/>
          <w:szCs w:val="21"/>
          <w:highlight w:val="none"/>
        </w:rPr>
      </w:pPr>
    </w:p>
    <w:p w14:paraId="145CFFEA">
      <w:pPr>
        <w:ind w:firstLine="723"/>
        <w:jc w:val="center"/>
        <w:rPr>
          <w:rFonts w:hint="eastAsia" w:ascii="宋体" w:hAnsi="宋体" w:eastAsia="宋体" w:cs="宋体"/>
          <w:b/>
          <w:color w:val="auto"/>
          <w:sz w:val="36"/>
          <w:szCs w:val="36"/>
          <w:highlight w:val="none"/>
        </w:rPr>
      </w:pPr>
    </w:p>
    <w:p w14:paraId="280EE98E">
      <w:pPr>
        <w:ind w:firstLine="723" w:firstLineChars="200"/>
        <w:jc w:val="both"/>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项目名称：</w:t>
      </w:r>
      <w:r>
        <w:rPr>
          <w:rFonts w:hint="eastAsia" w:ascii="宋体" w:hAnsi="宋体" w:cs="宋体"/>
          <w:b/>
          <w:color w:val="auto"/>
          <w:sz w:val="36"/>
          <w:szCs w:val="36"/>
          <w:highlight w:val="none"/>
          <w:lang w:eastAsia="zh-CN"/>
        </w:rPr>
        <w:t>盐城市区2025-2026年主要道路及节点时令花卉布置项目</w:t>
      </w:r>
    </w:p>
    <w:p w14:paraId="7791E6A1">
      <w:pPr>
        <w:jc w:val="left"/>
        <w:rPr>
          <w:rFonts w:hint="eastAsia" w:ascii="宋体" w:hAnsi="宋体" w:eastAsia="宋体" w:cs="宋体"/>
          <w:b/>
          <w:color w:val="auto"/>
          <w:sz w:val="36"/>
          <w:szCs w:val="36"/>
          <w:highlight w:val="none"/>
        </w:rPr>
      </w:pPr>
    </w:p>
    <w:p w14:paraId="0AAF2758">
      <w:pPr>
        <w:ind w:firstLine="723" w:firstLineChars="200"/>
        <w:jc w:val="left"/>
        <w:rPr>
          <w:rFonts w:hint="default"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rPr>
        <w:t>项目编号：JSZC-320900-</w:t>
      </w:r>
      <w:r>
        <w:rPr>
          <w:rFonts w:hint="eastAsia" w:ascii="宋体" w:hAnsi="宋体" w:cs="宋体"/>
          <w:b/>
          <w:color w:val="auto"/>
          <w:sz w:val="36"/>
          <w:szCs w:val="36"/>
          <w:highlight w:val="none"/>
          <w:lang w:val="en-US" w:eastAsia="zh-CN"/>
        </w:rPr>
        <w:t>JSJA-G2025-0008</w:t>
      </w:r>
    </w:p>
    <w:p w14:paraId="2E0A8DB0">
      <w:pPr>
        <w:rPr>
          <w:rFonts w:hint="eastAsia" w:ascii="宋体" w:hAnsi="宋体" w:eastAsia="宋体" w:cs="宋体"/>
          <w:b/>
          <w:color w:val="auto"/>
          <w:sz w:val="36"/>
          <w:szCs w:val="36"/>
          <w:highlight w:val="none"/>
        </w:rPr>
      </w:pPr>
    </w:p>
    <w:p w14:paraId="504CC652">
      <w:pPr>
        <w:ind w:firstLine="643"/>
        <w:rPr>
          <w:rFonts w:hint="eastAsia" w:ascii="宋体" w:hAnsi="宋体" w:eastAsia="宋体" w:cs="宋体"/>
          <w:b/>
          <w:color w:val="auto"/>
          <w:sz w:val="32"/>
          <w:szCs w:val="21"/>
          <w:highlight w:val="none"/>
        </w:rPr>
      </w:pPr>
    </w:p>
    <w:p w14:paraId="11BB34BD">
      <w:pPr>
        <w:ind w:firstLine="643"/>
        <w:rPr>
          <w:rFonts w:hint="eastAsia" w:ascii="宋体" w:hAnsi="宋体" w:eastAsia="宋体" w:cs="宋体"/>
          <w:b/>
          <w:color w:val="auto"/>
          <w:sz w:val="32"/>
          <w:szCs w:val="21"/>
          <w:highlight w:val="none"/>
        </w:rPr>
      </w:pPr>
    </w:p>
    <w:p w14:paraId="1985DC4F">
      <w:pPr>
        <w:ind w:firstLine="643"/>
        <w:rPr>
          <w:rFonts w:hint="eastAsia" w:ascii="宋体" w:hAnsi="宋体" w:eastAsia="宋体" w:cs="宋体"/>
          <w:b/>
          <w:color w:val="auto"/>
          <w:sz w:val="32"/>
          <w:szCs w:val="21"/>
          <w:highlight w:val="none"/>
        </w:rPr>
      </w:pPr>
    </w:p>
    <w:p w14:paraId="7C9B2F7C">
      <w:pPr>
        <w:ind w:firstLine="643"/>
        <w:rPr>
          <w:rFonts w:hint="eastAsia" w:ascii="宋体" w:hAnsi="宋体" w:eastAsia="宋体" w:cs="宋体"/>
          <w:b/>
          <w:color w:val="auto"/>
          <w:sz w:val="32"/>
          <w:szCs w:val="21"/>
          <w:highlight w:val="none"/>
        </w:rPr>
      </w:pPr>
    </w:p>
    <w:p w14:paraId="069F4B3F">
      <w:pPr>
        <w:ind w:firstLine="643"/>
        <w:rPr>
          <w:rFonts w:hint="eastAsia" w:ascii="宋体" w:hAnsi="宋体" w:eastAsia="宋体" w:cs="宋体"/>
          <w:b/>
          <w:color w:val="auto"/>
          <w:sz w:val="32"/>
          <w:szCs w:val="21"/>
          <w:highlight w:val="none"/>
        </w:rPr>
      </w:pPr>
    </w:p>
    <w:p w14:paraId="279ED67B">
      <w:pPr>
        <w:ind w:firstLine="643"/>
        <w:rPr>
          <w:rFonts w:hint="eastAsia" w:ascii="宋体" w:hAnsi="宋体" w:eastAsia="宋体" w:cs="宋体"/>
          <w:b/>
          <w:color w:val="auto"/>
          <w:sz w:val="32"/>
          <w:szCs w:val="21"/>
          <w:highlight w:val="none"/>
        </w:rPr>
      </w:pPr>
    </w:p>
    <w:p w14:paraId="59897508">
      <w:pPr>
        <w:pStyle w:val="236"/>
        <w:rPr>
          <w:rFonts w:hint="eastAsia" w:ascii="宋体" w:hAnsi="宋体" w:eastAsia="宋体" w:cs="宋体"/>
          <w:color w:val="auto"/>
          <w:highlight w:val="none"/>
        </w:rPr>
      </w:pPr>
    </w:p>
    <w:p w14:paraId="301C4179">
      <w:pPr>
        <w:ind w:firstLine="643"/>
        <w:rPr>
          <w:rFonts w:hint="eastAsia" w:ascii="宋体" w:hAnsi="宋体" w:eastAsia="宋体" w:cs="宋体"/>
          <w:b/>
          <w:color w:val="auto"/>
          <w:sz w:val="32"/>
          <w:szCs w:val="21"/>
          <w:highlight w:val="none"/>
        </w:rPr>
      </w:pPr>
    </w:p>
    <w:p w14:paraId="50EF7901">
      <w:pPr>
        <w:spacing w:line="360" w:lineRule="auto"/>
        <w:jc w:val="center"/>
        <w:rPr>
          <w:rFonts w:hint="eastAsia" w:ascii="宋体" w:hAnsi="宋体" w:eastAsia="宋体" w:cs="宋体"/>
          <w:b/>
          <w:bCs/>
          <w:color w:val="auto"/>
          <w:spacing w:val="15"/>
          <w:sz w:val="32"/>
          <w:szCs w:val="32"/>
          <w:highlight w:val="none"/>
        </w:rPr>
      </w:pPr>
      <w:bookmarkStart w:id="0" w:name="OLE_LINK1"/>
      <w:r>
        <w:rPr>
          <w:rFonts w:hint="eastAsia" w:ascii="宋体" w:hAnsi="宋体" w:eastAsia="宋体" w:cs="宋体"/>
          <w:b/>
          <w:bCs/>
          <w:color w:val="auto"/>
          <w:spacing w:val="15"/>
          <w:sz w:val="32"/>
          <w:szCs w:val="32"/>
          <w:highlight w:val="none"/>
        </w:rPr>
        <w:t>盐城市园林绿化管理处</w:t>
      </w:r>
      <w:bookmarkEnd w:id="0"/>
    </w:p>
    <w:p w14:paraId="796515CD">
      <w:pPr>
        <w:jc w:val="center"/>
        <w:rPr>
          <w:rFonts w:hint="eastAsia" w:ascii="宋体" w:hAnsi="宋体" w:eastAsia="宋体" w:cs="宋体"/>
          <w:b/>
          <w:color w:val="auto"/>
          <w:sz w:val="44"/>
          <w:szCs w:val="21"/>
          <w:highlight w:val="none"/>
        </w:rPr>
        <w:sectPr>
          <w:footerReference r:id="rId3" w:type="first"/>
          <w:pgSz w:w="11906" w:h="16838"/>
          <w:pgMar w:top="1418" w:right="1417" w:bottom="1418" w:left="1417" w:header="851" w:footer="992" w:gutter="0"/>
          <w:pgBorders>
            <w:top w:val="none" w:sz="0" w:space="0"/>
            <w:left w:val="none" w:sz="0" w:space="0"/>
            <w:bottom w:val="none" w:sz="0" w:space="0"/>
            <w:right w:val="none" w:sz="0" w:space="0"/>
          </w:pgBorders>
          <w:pgNumType w:fmt="decimal" w:start="1"/>
          <w:cols w:space="1701" w:num="1"/>
          <w:docGrid w:linePitch="360" w:charSpace="0"/>
        </w:sectPr>
      </w:pPr>
      <w:r>
        <w:rPr>
          <w:rFonts w:hint="eastAsia" w:ascii="宋体" w:hAnsi="宋体" w:eastAsia="宋体" w:cs="宋体"/>
          <w:b/>
          <w:color w:val="auto"/>
          <w:sz w:val="32"/>
          <w:szCs w:val="32"/>
          <w:highlight w:val="none"/>
        </w:rPr>
        <w:t>202</w:t>
      </w:r>
      <w:r>
        <w:rPr>
          <w:rFonts w:hint="eastAsia" w:ascii="宋体" w:hAnsi="宋体" w:eastAsia="宋体" w:cs="宋体"/>
          <w:b/>
          <w:color w:val="auto"/>
          <w:sz w:val="32"/>
          <w:szCs w:val="32"/>
          <w:highlight w:val="none"/>
          <w:lang w:val="en-US" w:eastAsia="zh-CN"/>
        </w:rPr>
        <w:t>5</w:t>
      </w:r>
      <w:r>
        <w:rPr>
          <w:rFonts w:hint="eastAsia" w:ascii="宋体" w:hAnsi="宋体" w:eastAsia="宋体" w:cs="宋体"/>
          <w:b/>
          <w:color w:val="auto"/>
          <w:sz w:val="32"/>
          <w:szCs w:val="32"/>
          <w:highlight w:val="none"/>
        </w:rPr>
        <w:t>年</w:t>
      </w:r>
      <w:r>
        <w:rPr>
          <w:rFonts w:hint="eastAsia" w:ascii="宋体" w:hAnsi="宋体" w:eastAsia="宋体" w:cs="宋体"/>
          <w:b/>
          <w:color w:val="auto"/>
          <w:sz w:val="32"/>
          <w:szCs w:val="32"/>
          <w:highlight w:val="none"/>
          <w:lang w:val="en-US" w:eastAsia="zh-CN"/>
        </w:rPr>
        <w:t>1</w:t>
      </w:r>
      <w:r>
        <w:rPr>
          <w:rFonts w:hint="eastAsia" w:ascii="宋体" w:hAnsi="宋体" w:cs="宋体"/>
          <w:b/>
          <w:color w:val="auto"/>
          <w:sz w:val="32"/>
          <w:szCs w:val="32"/>
          <w:highlight w:val="none"/>
          <w:lang w:val="en-US" w:eastAsia="zh-CN"/>
        </w:rPr>
        <w:t>2</w:t>
      </w:r>
      <w:r>
        <w:rPr>
          <w:rFonts w:hint="eastAsia" w:ascii="宋体" w:hAnsi="宋体" w:eastAsia="宋体" w:cs="宋体"/>
          <w:b/>
          <w:color w:val="auto"/>
          <w:sz w:val="32"/>
          <w:szCs w:val="32"/>
          <w:highlight w:val="none"/>
        </w:rPr>
        <w:t>月</w:t>
      </w:r>
      <w:bookmarkStart w:id="1" w:name="_Toc120614210"/>
      <w:bookmarkStart w:id="2" w:name="_Toc523127445"/>
      <w:bookmarkStart w:id="3" w:name="_Toc20823272"/>
      <w:bookmarkStart w:id="4" w:name="_Toc513029200"/>
      <w:bookmarkStart w:id="5" w:name="_Toc479757206"/>
      <w:bookmarkStart w:id="6" w:name="_Toc16938516"/>
    </w:p>
    <w:p w14:paraId="7BC10710">
      <w:pPr>
        <w:spacing w:line="480" w:lineRule="auto"/>
        <w:jc w:val="center"/>
        <w:outlineLvl w:val="0"/>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总  目  录</w:t>
      </w:r>
    </w:p>
    <w:p w14:paraId="45A331EA">
      <w:pPr>
        <w:spacing w:line="480" w:lineRule="auto"/>
        <w:ind w:firstLine="562"/>
        <w:rPr>
          <w:rFonts w:hint="eastAsia" w:ascii="宋体" w:hAnsi="宋体" w:eastAsia="宋体" w:cs="宋体"/>
          <w:b/>
          <w:color w:val="auto"/>
          <w:sz w:val="28"/>
          <w:szCs w:val="21"/>
          <w:highlight w:val="none"/>
        </w:rPr>
      </w:pPr>
    </w:p>
    <w:p w14:paraId="25C74A9D">
      <w:pPr>
        <w:numPr>
          <w:ilvl w:val="0"/>
          <w:numId w:val="0"/>
        </w:numPr>
        <w:spacing w:line="480" w:lineRule="auto"/>
        <w:jc w:val="left"/>
        <w:outlineLvl w:val="0"/>
        <w:rPr>
          <w:rFonts w:hint="eastAsia" w:ascii="宋体" w:hAnsi="宋体" w:eastAsia="宋体" w:cs="宋体"/>
          <w:color w:val="auto"/>
          <w:sz w:val="32"/>
          <w:szCs w:val="21"/>
          <w:highlight w:val="none"/>
        </w:rPr>
      </w:pPr>
      <w:r>
        <w:rPr>
          <w:rFonts w:hint="eastAsia" w:ascii="宋体" w:hAnsi="宋体" w:eastAsia="宋体" w:cs="宋体"/>
          <w:b w:val="0"/>
          <w:color w:val="auto"/>
          <w:sz w:val="36"/>
          <w:szCs w:val="21"/>
          <w:highlight w:val="none"/>
          <w:lang w:val="en-US" w:eastAsia="zh-CN" w:bidi="ar-SA"/>
        </w:rPr>
        <w:t>第一章</w:t>
      </w:r>
      <w:r>
        <w:rPr>
          <w:rFonts w:hint="eastAsia" w:ascii="宋体" w:hAnsi="宋体" w:eastAsia="宋体" w:cs="宋体"/>
          <w:color w:val="auto"/>
          <w:sz w:val="36"/>
          <w:szCs w:val="21"/>
          <w:highlight w:val="none"/>
        </w:rPr>
        <w:t xml:space="preserve">   招标公告</w:t>
      </w:r>
    </w:p>
    <w:p w14:paraId="2A38BFA6">
      <w:pPr>
        <w:numPr>
          <w:ilvl w:val="0"/>
          <w:numId w:val="0"/>
        </w:numPr>
        <w:spacing w:line="480" w:lineRule="auto"/>
        <w:jc w:val="left"/>
        <w:outlineLvl w:val="0"/>
        <w:rPr>
          <w:rFonts w:hint="eastAsia" w:ascii="宋体" w:hAnsi="宋体" w:eastAsia="宋体" w:cs="宋体"/>
          <w:color w:val="auto"/>
          <w:sz w:val="36"/>
          <w:szCs w:val="21"/>
          <w:highlight w:val="none"/>
        </w:rPr>
      </w:pPr>
      <w:r>
        <w:rPr>
          <w:rFonts w:hint="eastAsia" w:ascii="宋体" w:hAnsi="宋体" w:eastAsia="宋体" w:cs="宋体"/>
          <w:b w:val="0"/>
          <w:color w:val="auto"/>
          <w:sz w:val="36"/>
          <w:szCs w:val="21"/>
          <w:highlight w:val="none"/>
          <w:lang w:val="en-US" w:eastAsia="zh-CN" w:bidi="ar-SA"/>
        </w:rPr>
        <w:t>第二章</w:t>
      </w:r>
      <w:r>
        <w:rPr>
          <w:rFonts w:hint="eastAsia" w:ascii="宋体" w:hAnsi="宋体" w:eastAsia="宋体" w:cs="宋体"/>
          <w:bCs/>
          <w:color w:val="auto"/>
          <w:sz w:val="36"/>
          <w:szCs w:val="36"/>
          <w:highlight w:val="none"/>
        </w:rPr>
        <w:t xml:space="preserve">   投标人须知</w:t>
      </w:r>
      <w:r>
        <w:rPr>
          <w:rFonts w:hint="eastAsia" w:ascii="宋体" w:hAnsi="宋体" w:eastAsia="宋体" w:cs="宋体"/>
          <w:color w:val="auto"/>
          <w:sz w:val="36"/>
          <w:szCs w:val="21"/>
          <w:highlight w:val="none"/>
        </w:rPr>
        <w:t xml:space="preserve">  </w:t>
      </w:r>
    </w:p>
    <w:p w14:paraId="7502E7AD">
      <w:pPr>
        <w:numPr>
          <w:ilvl w:val="0"/>
          <w:numId w:val="0"/>
        </w:numPr>
        <w:spacing w:line="480" w:lineRule="auto"/>
        <w:jc w:val="left"/>
        <w:outlineLvl w:val="0"/>
        <w:rPr>
          <w:rFonts w:hint="eastAsia" w:ascii="宋体" w:hAnsi="宋体" w:eastAsia="宋体" w:cs="宋体"/>
          <w:color w:val="auto"/>
          <w:sz w:val="36"/>
          <w:szCs w:val="21"/>
          <w:highlight w:val="none"/>
          <w:lang w:val="en-US" w:eastAsia="zh-CN"/>
        </w:rPr>
      </w:pPr>
      <w:r>
        <w:rPr>
          <w:rFonts w:hint="eastAsia" w:ascii="宋体" w:hAnsi="宋体" w:eastAsia="宋体" w:cs="宋体"/>
          <w:b w:val="0"/>
          <w:color w:val="auto"/>
          <w:sz w:val="36"/>
          <w:szCs w:val="21"/>
          <w:highlight w:val="none"/>
          <w:lang w:val="en-US" w:eastAsia="zh-CN" w:bidi="ar-SA"/>
        </w:rPr>
        <w:t>第三章</w:t>
      </w:r>
      <w:r>
        <w:rPr>
          <w:rFonts w:hint="eastAsia" w:ascii="宋体" w:hAnsi="宋体" w:eastAsia="宋体" w:cs="宋体"/>
          <w:color w:val="auto"/>
          <w:sz w:val="36"/>
          <w:szCs w:val="21"/>
          <w:highlight w:val="none"/>
        </w:rPr>
        <w:t xml:space="preserve">   合同</w:t>
      </w:r>
      <w:r>
        <w:rPr>
          <w:rFonts w:hint="eastAsia" w:ascii="宋体" w:hAnsi="宋体" w:eastAsia="宋体" w:cs="宋体"/>
          <w:color w:val="auto"/>
          <w:sz w:val="36"/>
          <w:szCs w:val="21"/>
          <w:highlight w:val="none"/>
          <w:lang w:val="en-US" w:eastAsia="zh-CN"/>
        </w:rPr>
        <w:t>主要条款</w:t>
      </w:r>
    </w:p>
    <w:p w14:paraId="2EADAFDD">
      <w:pPr>
        <w:numPr>
          <w:ilvl w:val="0"/>
          <w:numId w:val="0"/>
        </w:numPr>
        <w:spacing w:line="480" w:lineRule="auto"/>
        <w:jc w:val="left"/>
        <w:outlineLvl w:val="0"/>
        <w:rPr>
          <w:rFonts w:hint="eastAsia" w:ascii="宋体" w:hAnsi="宋体" w:eastAsia="宋体" w:cs="宋体"/>
          <w:color w:val="auto"/>
          <w:sz w:val="36"/>
          <w:szCs w:val="21"/>
          <w:highlight w:val="none"/>
        </w:rPr>
      </w:pPr>
      <w:r>
        <w:rPr>
          <w:rFonts w:hint="eastAsia" w:ascii="宋体" w:hAnsi="宋体" w:eastAsia="宋体" w:cs="宋体"/>
          <w:b w:val="0"/>
          <w:color w:val="auto"/>
          <w:sz w:val="36"/>
          <w:szCs w:val="21"/>
          <w:highlight w:val="none"/>
          <w:lang w:val="en-US" w:eastAsia="zh-CN" w:bidi="ar-SA"/>
        </w:rPr>
        <w:t>第四章</w:t>
      </w:r>
      <w:r>
        <w:rPr>
          <w:rFonts w:hint="eastAsia" w:ascii="宋体" w:hAnsi="宋体" w:eastAsia="宋体" w:cs="宋体"/>
          <w:color w:val="auto"/>
          <w:sz w:val="36"/>
          <w:szCs w:val="21"/>
          <w:highlight w:val="none"/>
        </w:rPr>
        <w:t xml:space="preserve">   采购需求</w:t>
      </w:r>
    </w:p>
    <w:p w14:paraId="27F076D9">
      <w:pPr>
        <w:numPr>
          <w:ilvl w:val="0"/>
          <w:numId w:val="0"/>
        </w:numPr>
        <w:spacing w:line="480" w:lineRule="auto"/>
        <w:jc w:val="left"/>
        <w:outlineLvl w:val="0"/>
        <w:rPr>
          <w:rFonts w:hint="eastAsia" w:ascii="宋体" w:hAnsi="宋体" w:eastAsia="宋体" w:cs="宋体"/>
          <w:color w:val="auto"/>
          <w:sz w:val="36"/>
          <w:szCs w:val="21"/>
          <w:highlight w:val="none"/>
        </w:rPr>
      </w:pPr>
      <w:r>
        <w:rPr>
          <w:rFonts w:hint="eastAsia" w:ascii="宋体" w:hAnsi="宋体" w:eastAsia="宋体" w:cs="宋体"/>
          <w:b w:val="0"/>
          <w:color w:val="auto"/>
          <w:sz w:val="36"/>
          <w:szCs w:val="21"/>
          <w:highlight w:val="none"/>
          <w:lang w:val="en-US" w:eastAsia="zh-CN" w:bidi="ar-SA"/>
        </w:rPr>
        <w:t>第五章</w:t>
      </w:r>
      <w:r>
        <w:rPr>
          <w:rFonts w:hint="eastAsia" w:ascii="宋体" w:hAnsi="宋体" w:eastAsia="宋体" w:cs="宋体"/>
          <w:bCs/>
          <w:color w:val="auto"/>
          <w:sz w:val="36"/>
          <w:szCs w:val="36"/>
          <w:highlight w:val="none"/>
        </w:rPr>
        <w:t xml:space="preserve">   评标方法与评标标准</w:t>
      </w:r>
    </w:p>
    <w:p w14:paraId="295A9EBF">
      <w:pPr>
        <w:numPr>
          <w:ilvl w:val="0"/>
          <w:numId w:val="0"/>
        </w:numPr>
        <w:spacing w:line="480" w:lineRule="auto"/>
        <w:jc w:val="left"/>
        <w:outlineLvl w:val="0"/>
        <w:rPr>
          <w:rFonts w:hint="eastAsia" w:ascii="宋体" w:hAnsi="宋体" w:eastAsia="宋体" w:cs="宋体"/>
          <w:color w:val="auto"/>
          <w:sz w:val="36"/>
          <w:szCs w:val="21"/>
          <w:highlight w:val="none"/>
        </w:rPr>
      </w:pPr>
      <w:r>
        <w:rPr>
          <w:rFonts w:hint="eastAsia" w:ascii="宋体" w:hAnsi="宋体" w:eastAsia="宋体" w:cs="宋体"/>
          <w:b w:val="0"/>
          <w:color w:val="auto"/>
          <w:sz w:val="36"/>
          <w:szCs w:val="21"/>
          <w:highlight w:val="none"/>
          <w:lang w:val="en-US" w:eastAsia="zh-CN" w:bidi="ar-SA"/>
        </w:rPr>
        <w:t>第六章</w:t>
      </w:r>
      <w:r>
        <w:rPr>
          <w:rFonts w:hint="eastAsia" w:ascii="宋体" w:hAnsi="宋体" w:eastAsia="宋体" w:cs="宋体"/>
          <w:color w:val="auto"/>
          <w:sz w:val="36"/>
          <w:szCs w:val="21"/>
          <w:highlight w:val="none"/>
        </w:rPr>
        <w:t xml:space="preserve">   投标文件格式</w:t>
      </w:r>
    </w:p>
    <w:p w14:paraId="6598D0B0">
      <w:pPr>
        <w:keepNext/>
        <w:ind w:firstLine="880"/>
        <w:jc w:val="center"/>
        <w:outlineLvl w:val="0"/>
        <w:rPr>
          <w:rFonts w:hint="eastAsia" w:ascii="宋体" w:hAnsi="宋体" w:eastAsia="宋体" w:cs="宋体"/>
          <w:bCs/>
          <w:color w:val="auto"/>
          <w:sz w:val="44"/>
          <w:szCs w:val="28"/>
          <w:highlight w:val="none"/>
        </w:rPr>
      </w:pPr>
    </w:p>
    <w:p w14:paraId="6F4BB970">
      <w:pPr>
        <w:keepNext/>
        <w:ind w:firstLine="880"/>
        <w:jc w:val="center"/>
        <w:outlineLvl w:val="0"/>
        <w:rPr>
          <w:rFonts w:hint="eastAsia" w:ascii="宋体" w:hAnsi="宋体" w:eastAsia="宋体" w:cs="宋体"/>
          <w:bCs/>
          <w:color w:val="auto"/>
          <w:sz w:val="44"/>
          <w:szCs w:val="28"/>
          <w:highlight w:val="none"/>
        </w:rPr>
      </w:pPr>
    </w:p>
    <w:p w14:paraId="0086F56C">
      <w:pPr>
        <w:ind w:firstLine="420"/>
        <w:rPr>
          <w:rFonts w:hint="eastAsia" w:ascii="宋体" w:hAnsi="宋体" w:eastAsia="宋体" w:cs="宋体"/>
          <w:color w:val="auto"/>
          <w:szCs w:val="21"/>
          <w:highlight w:val="none"/>
        </w:rPr>
      </w:pPr>
    </w:p>
    <w:p w14:paraId="02879371">
      <w:pPr>
        <w:ind w:firstLine="420"/>
        <w:rPr>
          <w:rFonts w:hint="eastAsia" w:ascii="宋体" w:hAnsi="宋体" w:eastAsia="宋体" w:cs="宋体"/>
          <w:color w:val="auto"/>
          <w:szCs w:val="21"/>
          <w:highlight w:val="none"/>
        </w:rPr>
      </w:pPr>
    </w:p>
    <w:p w14:paraId="08608587">
      <w:pPr>
        <w:ind w:firstLine="420"/>
        <w:rPr>
          <w:rFonts w:hint="eastAsia" w:ascii="宋体" w:hAnsi="宋体" w:eastAsia="宋体" w:cs="宋体"/>
          <w:color w:val="auto"/>
          <w:szCs w:val="21"/>
          <w:highlight w:val="none"/>
        </w:rPr>
      </w:pPr>
    </w:p>
    <w:p w14:paraId="7F31506F">
      <w:pPr>
        <w:ind w:firstLine="420"/>
        <w:rPr>
          <w:rFonts w:hint="eastAsia" w:ascii="宋体" w:hAnsi="宋体" w:eastAsia="宋体" w:cs="宋体"/>
          <w:color w:val="auto"/>
          <w:szCs w:val="21"/>
          <w:highlight w:val="none"/>
        </w:rPr>
      </w:pPr>
    </w:p>
    <w:p w14:paraId="39651165">
      <w:pPr>
        <w:ind w:firstLine="420"/>
        <w:rPr>
          <w:rFonts w:hint="eastAsia" w:ascii="宋体" w:hAnsi="宋体" w:eastAsia="宋体" w:cs="宋体"/>
          <w:color w:val="auto"/>
          <w:szCs w:val="21"/>
          <w:highlight w:val="none"/>
        </w:rPr>
      </w:pPr>
    </w:p>
    <w:p w14:paraId="04CF8339">
      <w:pPr>
        <w:ind w:firstLine="420"/>
        <w:rPr>
          <w:rFonts w:hint="eastAsia" w:ascii="宋体" w:hAnsi="宋体" w:eastAsia="宋体" w:cs="宋体"/>
          <w:color w:val="auto"/>
          <w:szCs w:val="21"/>
          <w:highlight w:val="none"/>
        </w:rPr>
      </w:pPr>
    </w:p>
    <w:p w14:paraId="6A36621E">
      <w:pPr>
        <w:ind w:firstLine="420"/>
        <w:rPr>
          <w:rFonts w:hint="eastAsia" w:ascii="宋体" w:hAnsi="宋体" w:eastAsia="宋体" w:cs="宋体"/>
          <w:color w:val="auto"/>
          <w:szCs w:val="21"/>
          <w:highlight w:val="none"/>
        </w:rPr>
      </w:pPr>
    </w:p>
    <w:p w14:paraId="3B742339">
      <w:pPr>
        <w:ind w:firstLine="420"/>
        <w:rPr>
          <w:rFonts w:hint="eastAsia" w:ascii="宋体" w:hAnsi="宋体" w:eastAsia="宋体" w:cs="宋体"/>
          <w:color w:val="auto"/>
          <w:szCs w:val="21"/>
          <w:highlight w:val="none"/>
        </w:rPr>
      </w:pPr>
    </w:p>
    <w:p w14:paraId="3BC67C87">
      <w:pPr>
        <w:ind w:firstLine="420"/>
        <w:rPr>
          <w:rFonts w:hint="eastAsia" w:ascii="宋体" w:hAnsi="宋体" w:eastAsia="宋体" w:cs="宋体"/>
          <w:color w:val="auto"/>
          <w:szCs w:val="21"/>
          <w:highlight w:val="none"/>
        </w:rPr>
      </w:pPr>
    </w:p>
    <w:p w14:paraId="0CCC8719">
      <w:pPr>
        <w:ind w:firstLine="420"/>
        <w:rPr>
          <w:rFonts w:hint="eastAsia" w:ascii="宋体" w:hAnsi="宋体" w:eastAsia="宋体" w:cs="宋体"/>
          <w:color w:val="auto"/>
          <w:szCs w:val="21"/>
          <w:highlight w:val="none"/>
        </w:rPr>
      </w:pPr>
    </w:p>
    <w:p w14:paraId="182BEF2A">
      <w:pPr>
        <w:ind w:firstLine="420"/>
        <w:rPr>
          <w:rFonts w:hint="eastAsia" w:ascii="宋体" w:hAnsi="宋体" w:eastAsia="宋体" w:cs="宋体"/>
          <w:color w:val="auto"/>
          <w:szCs w:val="21"/>
          <w:highlight w:val="none"/>
        </w:rPr>
      </w:pPr>
    </w:p>
    <w:p w14:paraId="629718EC">
      <w:pPr>
        <w:ind w:firstLine="420"/>
        <w:rPr>
          <w:rFonts w:hint="eastAsia" w:ascii="宋体" w:hAnsi="宋体" w:eastAsia="宋体" w:cs="宋体"/>
          <w:color w:val="auto"/>
          <w:szCs w:val="21"/>
          <w:highlight w:val="none"/>
        </w:rPr>
      </w:pPr>
    </w:p>
    <w:p w14:paraId="74760CF1">
      <w:pPr>
        <w:ind w:firstLine="420"/>
        <w:rPr>
          <w:rFonts w:hint="eastAsia" w:ascii="宋体" w:hAnsi="宋体" w:eastAsia="宋体" w:cs="宋体"/>
          <w:color w:val="auto"/>
          <w:szCs w:val="21"/>
          <w:highlight w:val="none"/>
        </w:rPr>
      </w:pPr>
    </w:p>
    <w:p w14:paraId="44D0E382">
      <w:pPr>
        <w:ind w:firstLine="420"/>
        <w:rPr>
          <w:rFonts w:hint="eastAsia" w:ascii="宋体" w:hAnsi="宋体" w:eastAsia="宋体" w:cs="宋体"/>
          <w:color w:val="auto"/>
          <w:szCs w:val="21"/>
          <w:highlight w:val="none"/>
        </w:rPr>
      </w:pPr>
    </w:p>
    <w:p w14:paraId="42C89E3B">
      <w:pPr>
        <w:ind w:firstLine="420"/>
        <w:rPr>
          <w:rFonts w:hint="eastAsia" w:ascii="宋体" w:hAnsi="宋体" w:eastAsia="宋体" w:cs="宋体"/>
          <w:color w:val="auto"/>
          <w:szCs w:val="21"/>
          <w:highlight w:val="none"/>
        </w:rPr>
      </w:pPr>
    </w:p>
    <w:p w14:paraId="643358F9">
      <w:pPr>
        <w:ind w:firstLine="420"/>
        <w:rPr>
          <w:rFonts w:hint="eastAsia" w:ascii="宋体" w:hAnsi="宋体" w:eastAsia="宋体" w:cs="宋体"/>
          <w:color w:val="auto"/>
          <w:szCs w:val="21"/>
          <w:highlight w:val="none"/>
        </w:rPr>
      </w:pPr>
    </w:p>
    <w:p w14:paraId="2F4F5C2D">
      <w:pPr>
        <w:ind w:firstLine="420"/>
        <w:rPr>
          <w:rFonts w:hint="eastAsia" w:ascii="宋体" w:hAnsi="宋体" w:eastAsia="宋体" w:cs="宋体"/>
          <w:color w:val="auto"/>
          <w:szCs w:val="21"/>
          <w:highlight w:val="none"/>
        </w:rPr>
      </w:pPr>
    </w:p>
    <w:p w14:paraId="5DCBEDD7">
      <w:pPr>
        <w:ind w:firstLine="420"/>
        <w:rPr>
          <w:rFonts w:hint="eastAsia" w:ascii="宋体" w:hAnsi="宋体" w:eastAsia="宋体" w:cs="宋体"/>
          <w:color w:val="auto"/>
          <w:szCs w:val="21"/>
          <w:highlight w:val="none"/>
        </w:rPr>
      </w:pPr>
    </w:p>
    <w:p w14:paraId="4AEA797C">
      <w:pPr>
        <w:spacing w:line="360" w:lineRule="auto"/>
        <w:ind w:firstLine="600"/>
        <w:rPr>
          <w:rFonts w:hint="eastAsia" w:ascii="宋体" w:hAnsi="宋体" w:eastAsia="宋体" w:cs="宋体"/>
          <w:color w:val="auto"/>
          <w:sz w:val="30"/>
          <w:szCs w:val="30"/>
          <w:highlight w:val="none"/>
        </w:rPr>
      </w:pPr>
    </w:p>
    <w:bookmarkEnd w:id="1"/>
    <w:p w14:paraId="0601DE3F">
      <w:pPr>
        <w:jc w:val="center"/>
        <w:rPr>
          <w:rFonts w:hint="eastAsia" w:ascii="宋体" w:hAnsi="宋体" w:eastAsia="宋体" w:cs="宋体"/>
          <w:color w:val="auto"/>
          <w:sz w:val="44"/>
          <w:szCs w:val="44"/>
          <w:highlight w:val="none"/>
        </w:rPr>
        <w:sectPr>
          <w:footerReference r:id="rId5" w:type="first"/>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1701" w:num="1"/>
          <w:docGrid w:linePitch="360" w:charSpace="0"/>
        </w:sectPr>
      </w:pPr>
    </w:p>
    <w:p w14:paraId="04D94BE4">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第一章 招标公告</w:t>
      </w:r>
    </w:p>
    <w:p w14:paraId="45BAD6C2">
      <w:pPr>
        <w:pBdr>
          <w:top w:val="single" w:color="000000" w:sz="4" w:space="1"/>
          <w:left w:val="single" w:color="000000" w:sz="4" w:space="4"/>
          <w:bottom w:val="single" w:color="000000" w:sz="4" w:space="1"/>
          <w:right w:val="single" w:color="000000" w:sz="4" w:space="4"/>
        </w:pBdr>
        <w:spacing w:line="360" w:lineRule="auto"/>
        <w:rPr>
          <w:rFonts w:hint="eastAsia" w:ascii="宋体" w:hAnsi="宋体" w:eastAsia="宋体" w:cs="宋体"/>
          <w:color w:val="auto"/>
          <w:sz w:val="24"/>
          <w:szCs w:val="24"/>
          <w:highlight w:val="none"/>
        </w:rPr>
      </w:pPr>
      <w:bookmarkStart w:id="7" w:name="_Toc120614211"/>
      <w:r>
        <w:rPr>
          <w:rFonts w:hint="eastAsia" w:ascii="宋体" w:hAnsi="宋体" w:eastAsia="宋体" w:cs="宋体"/>
          <w:color w:val="auto"/>
          <w:sz w:val="24"/>
          <w:szCs w:val="24"/>
          <w:highlight w:val="none"/>
        </w:rPr>
        <w:t>项目概况</w:t>
      </w:r>
    </w:p>
    <w:p w14:paraId="01FFE9D5">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4"/>
          <w:highlight w:val="none"/>
        </w:rPr>
      </w:pPr>
      <w:bookmarkStart w:id="157" w:name="_GoBack"/>
      <w:bookmarkEnd w:id="157"/>
      <w:r>
        <w:rPr>
          <w:rFonts w:hint="eastAsia" w:ascii="宋体" w:hAnsi="宋体" w:cs="宋体"/>
          <w:color w:val="auto"/>
          <w:sz w:val="24"/>
          <w:szCs w:val="24"/>
          <w:highlight w:val="none"/>
          <w:u w:val="none"/>
          <w:lang w:eastAsia="zh-CN"/>
        </w:rPr>
        <w:t>盐城市区2025-2026年主要道路及节点时令花卉布置项目</w:t>
      </w:r>
      <w:r>
        <w:rPr>
          <w:rFonts w:hint="eastAsia" w:ascii="宋体" w:hAnsi="宋体" w:eastAsia="宋体" w:cs="宋体"/>
          <w:color w:val="auto"/>
          <w:sz w:val="24"/>
          <w:szCs w:val="24"/>
          <w:highlight w:val="none"/>
          <w:u w:val="none"/>
        </w:rPr>
        <w:t>JSZC-320900-JSJ</w:t>
      </w:r>
      <w:r>
        <w:rPr>
          <w:rFonts w:hint="eastAsia" w:ascii="宋体" w:hAnsi="宋体" w:eastAsia="宋体" w:cs="宋体"/>
          <w:color w:val="auto"/>
          <w:sz w:val="24"/>
          <w:szCs w:val="24"/>
          <w:highlight w:val="none"/>
          <w:u w:val="none"/>
          <w:lang w:val="en-US" w:eastAsia="zh-CN"/>
        </w:rPr>
        <w:t>A</w:t>
      </w:r>
      <w:r>
        <w:rPr>
          <w:rFonts w:hint="eastAsia" w:ascii="宋体" w:hAnsi="宋体" w:eastAsia="宋体" w:cs="宋体"/>
          <w:color w:val="auto"/>
          <w:sz w:val="24"/>
          <w:szCs w:val="24"/>
          <w:highlight w:val="none"/>
          <w:u w:val="none"/>
        </w:rPr>
        <w:t>-</w:t>
      </w:r>
      <w:r>
        <w:rPr>
          <w:rFonts w:hint="eastAsia" w:ascii="宋体" w:hAnsi="宋体" w:cs="宋体"/>
          <w:color w:val="auto"/>
          <w:sz w:val="24"/>
          <w:szCs w:val="24"/>
          <w:highlight w:val="none"/>
          <w:u w:val="none"/>
          <w:lang w:val="en-US" w:eastAsia="zh-CN"/>
        </w:rPr>
        <w:t>G2025-0008招标</w:t>
      </w:r>
      <w:r>
        <w:rPr>
          <w:rFonts w:hint="eastAsia" w:ascii="宋体" w:hAnsi="宋体" w:eastAsia="宋体" w:cs="宋体"/>
          <w:color w:val="auto"/>
          <w:sz w:val="24"/>
          <w:szCs w:val="24"/>
          <w:highlight w:val="none"/>
          <w:u w:val="none"/>
        </w:rPr>
        <w:t>项目的潜在供应商应在“苏采云”系统内免费下载（投标人必须在苏采云系统中获取采购文件，方能参与政府采购项目）获取采购文件，并于202</w:t>
      </w:r>
      <w:r>
        <w:rPr>
          <w:rFonts w:hint="eastAsia" w:ascii="宋体" w:hAnsi="宋体" w:eastAsia="宋体" w:cs="宋体"/>
          <w:color w:val="auto"/>
          <w:sz w:val="24"/>
          <w:szCs w:val="24"/>
          <w:highlight w:val="none"/>
          <w:u w:val="none"/>
          <w:lang w:val="en-US" w:eastAsia="zh-CN"/>
        </w:rPr>
        <w:t>5</w:t>
      </w:r>
      <w:r>
        <w:rPr>
          <w:rFonts w:hint="eastAsia" w:ascii="宋体" w:hAnsi="宋体" w:cs="宋体"/>
          <w:bCs/>
          <w:color w:val="auto"/>
          <w:sz w:val="24"/>
          <w:szCs w:val="24"/>
          <w:highlight w:val="none"/>
          <w:u w:val="none"/>
          <w:lang w:val="en-US" w:eastAsia="zh-CN"/>
        </w:rPr>
        <w:t>-</w:t>
      </w:r>
      <w:r>
        <w:rPr>
          <w:rFonts w:hint="eastAsia" w:ascii="宋体" w:hAnsi="宋体" w:eastAsia="宋体" w:cs="宋体"/>
          <w:bCs/>
          <w:color w:val="auto"/>
          <w:sz w:val="24"/>
          <w:szCs w:val="24"/>
          <w:highlight w:val="none"/>
          <w:u w:val="none"/>
          <w:lang w:val="en-US" w:eastAsia="zh-CN"/>
        </w:rPr>
        <w:t>1</w:t>
      </w:r>
      <w:r>
        <w:rPr>
          <w:rFonts w:hint="eastAsia" w:ascii="宋体" w:hAnsi="宋体" w:cs="宋体"/>
          <w:bCs/>
          <w:color w:val="auto"/>
          <w:sz w:val="24"/>
          <w:szCs w:val="24"/>
          <w:highlight w:val="none"/>
          <w:u w:val="none"/>
          <w:lang w:val="en-US" w:eastAsia="zh-CN"/>
        </w:rPr>
        <w:t>2-24</w:t>
      </w:r>
      <w:r>
        <w:rPr>
          <w:rFonts w:hint="eastAsia" w:ascii="宋体" w:hAnsi="宋体" w:eastAsia="宋体" w:cs="宋体"/>
          <w:bCs/>
          <w:color w:val="auto"/>
          <w:sz w:val="24"/>
          <w:szCs w:val="24"/>
          <w:highlight w:val="none"/>
          <w:u w:val="none"/>
          <w:lang w:val="en-US" w:eastAsia="zh-CN"/>
        </w:rPr>
        <w:t xml:space="preserve">  09</w:t>
      </w:r>
      <w:r>
        <w:rPr>
          <w:rFonts w:hint="eastAsia" w:ascii="宋体" w:hAnsi="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none"/>
          <w:lang w:val="en-US" w:eastAsia="zh-CN"/>
        </w:rPr>
        <w:t>00</w:t>
      </w:r>
      <w:r>
        <w:rPr>
          <w:rFonts w:hint="eastAsia" w:ascii="宋体" w:hAnsi="宋体" w:eastAsia="宋体" w:cs="宋体"/>
          <w:bCs/>
          <w:color w:val="auto"/>
          <w:sz w:val="24"/>
          <w:szCs w:val="24"/>
          <w:highlight w:val="none"/>
          <w:u w:val="none"/>
        </w:rPr>
        <w:t>（北京时间）前提交投标文件</w:t>
      </w:r>
      <w:r>
        <w:rPr>
          <w:rFonts w:hint="eastAsia" w:ascii="宋体" w:hAnsi="宋体" w:eastAsia="宋体" w:cs="宋体"/>
          <w:color w:val="auto"/>
          <w:sz w:val="24"/>
          <w:szCs w:val="24"/>
          <w:highlight w:val="none"/>
          <w:u w:val="none"/>
        </w:rPr>
        <w:t>。</w:t>
      </w:r>
    </w:p>
    <w:p w14:paraId="668EC9A2">
      <w:pPr>
        <w:keepNext/>
        <w:tabs>
          <w:tab w:val="left" w:pos="0"/>
          <w:tab w:val="left" w:pos="3165"/>
          <w:tab w:val="center" w:pos="4153"/>
        </w:tabs>
        <w:spacing w:line="360" w:lineRule="auto"/>
        <w:ind w:firstLine="482"/>
        <w:jc w:val="left"/>
        <w:outlineLvl w:val="0"/>
        <w:rPr>
          <w:rFonts w:hint="eastAsia" w:ascii="宋体" w:hAnsi="宋体" w:eastAsia="宋体" w:cs="宋体"/>
          <w:b/>
          <w:bCs/>
          <w:color w:val="auto"/>
          <w:sz w:val="24"/>
          <w:szCs w:val="24"/>
          <w:highlight w:val="none"/>
        </w:rPr>
      </w:pPr>
      <w:bookmarkStart w:id="8" w:name="_Toc35393790"/>
      <w:bookmarkStart w:id="9" w:name="_Toc28359002"/>
      <w:bookmarkStart w:id="10" w:name="_Toc28359079"/>
      <w:bookmarkStart w:id="11" w:name="_Toc35393621"/>
      <w:bookmarkStart w:id="12" w:name="_Hlk24379207"/>
      <w:r>
        <w:rPr>
          <w:rFonts w:hint="eastAsia" w:ascii="宋体" w:hAnsi="宋体" w:eastAsia="宋体" w:cs="宋体"/>
          <w:b/>
          <w:bCs/>
          <w:color w:val="auto"/>
          <w:sz w:val="24"/>
          <w:szCs w:val="24"/>
          <w:highlight w:val="none"/>
        </w:rPr>
        <w:t>一、项目基本情况</w:t>
      </w:r>
      <w:bookmarkEnd w:id="8"/>
      <w:bookmarkEnd w:id="9"/>
      <w:bookmarkEnd w:id="10"/>
      <w:bookmarkEnd w:id="11"/>
    </w:p>
    <w:p w14:paraId="5B70C006">
      <w:pPr>
        <w:spacing w:line="360" w:lineRule="auto"/>
        <w:ind w:firstLine="48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项目编号：JSZC-320900-JSJ</w:t>
      </w: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u w:val="none"/>
          <w:lang w:val="en-US" w:eastAsia="zh-CN"/>
        </w:rPr>
        <w:t>G2025-0008</w:t>
      </w:r>
    </w:p>
    <w:p w14:paraId="76002761">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bookmarkEnd w:id="12"/>
      <w:r>
        <w:rPr>
          <w:rFonts w:hint="eastAsia" w:ascii="宋体" w:hAnsi="宋体" w:cs="宋体"/>
          <w:color w:val="auto"/>
          <w:sz w:val="24"/>
          <w:szCs w:val="24"/>
          <w:highlight w:val="none"/>
          <w:lang w:eastAsia="zh-CN"/>
        </w:rPr>
        <w:t>盐城市区2025-2026年主要道路及节点时令花卉布置项目</w:t>
      </w:r>
    </w:p>
    <w:p w14:paraId="3C3F72A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采购方式：公开招标</w:t>
      </w:r>
    </w:p>
    <w:p w14:paraId="20FECAC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bookmarkStart w:id="13" w:name="OLE_LINK2"/>
      <w:r>
        <w:rPr>
          <w:rFonts w:hint="eastAsia" w:ascii="宋体" w:hAnsi="宋体" w:cs="宋体"/>
          <w:color w:val="auto"/>
          <w:sz w:val="24"/>
          <w:szCs w:val="24"/>
          <w:highlight w:val="none"/>
          <w:lang w:val="en-US" w:eastAsia="zh-CN"/>
        </w:rPr>
        <w:t>929886.28</w:t>
      </w:r>
      <w:r>
        <w:rPr>
          <w:rFonts w:hint="eastAsia" w:ascii="宋体" w:hAnsi="宋体" w:eastAsia="宋体" w:cs="宋体"/>
          <w:color w:val="auto"/>
          <w:sz w:val="24"/>
          <w:szCs w:val="24"/>
          <w:highlight w:val="none"/>
        </w:rPr>
        <w:t>元</w:t>
      </w:r>
      <w:bookmarkEnd w:id="13"/>
    </w:p>
    <w:p w14:paraId="0D5701A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如有）</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929886.28</w:t>
      </w:r>
      <w:r>
        <w:rPr>
          <w:rFonts w:hint="eastAsia" w:ascii="宋体" w:hAnsi="宋体" w:eastAsia="宋体" w:cs="宋体"/>
          <w:color w:val="auto"/>
          <w:sz w:val="24"/>
          <w:szCs w:val="24"/>
          <w:highlight w:val="none"/>
        </w:rPr>
        <w:t>元</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投标人报价超过最高限价按无效标处理）</w:t>
      </w:r>
      <w:r>
        <w:rPr>
          <w:rFonts w:hint="eastAsia" w:ascii="宋体" w:hAnsi="宋体" w:eastAsia="宋体" w:cs="宋体"/>
          <w:color w:val="auto"/>
          <w:sz w:val="24"/>
          <w:szCs w:val="24"/>
          <w:highlight w:val="none"/>
        </w:rPr>
        <w:t>。</w:t>
      </w:r>
    </w:p>
    <w:p w14:paraId="721A17F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r>
        <w:rPr>
          <w:rFonts w:hint="eastAsia" w:ascii="宋体" w:hAnsi="宋体" w:cs="宋体"/>
          <w:bCs/>
          <w:color w:val="auto"/>
          <w:sz w:val="24"/>
          <w:szCs w:val="24"/>
          <w:highlight w:val="none"/>
          <w:lang w:eastAsia="zh-CN"/>
        </w:rPr>
        <w:t>盐城市区2025-2026年主要道路及节点时令花卉布置项目</w:t>
      </w:r>
      <w:r>
        <w:rPr>
          <w:rFonts w:hint="eastAsia" w:ascii="宋体" w:hAnsi="宋体" w:eastAsia="宋体" w:cs="宋体"/>
          <w:bCs/>
          <w:color w:val="auto"/>
          <w:sz w:val="24"/>
          <w:szCs w:val="24"/>
          <w:highlight w:val="none"/>
        </w:rPr>
        <w:t>，通过</w:t>
      </w:r>
      <w:r>
        <w:rPr>
          <w:rFonts w:hint="eastAsia" w:ascii="宋体" w:hAnsi="宋体" w:eastAsia="宋体" w:cs="宋体"/>
          <w:bCs/>
          <w:color w:val="auto"/>
          <w:sz w:val="24"/>
          <w:szCs w:val="24"/>
          <w:highlight w:val="none"/>
          <w:lang w:val="en-US" w:eastAsia="zh-CN"/>
        </w:rPr>
        <w:t>对</w:t>
      </w:r>
      <w:r>
        <w:rPr>
          <w:rFonts w:hint="eastAsia" w:ascii="宋体" w:hAnsi="宋体" w:eastAsia="宋体" w:cs="宋体"/>
          <w:bCs/>
          <w:color w:val="auto"/>
          <w:sz w:val="24"/>
          <w:szCs w:val="24"/>
          <w:highlight w:val="none"/>
        </w:rPr>
        <w:t>花卉植物的布置，达到美化道路整体环境、展现城市良好风貌的效果。</w:t>
      </w:r>
      <w:r>
        <w:rPr>
          <w:rFonts w:hint="eastAsia" w:ascii="宋体" w:hAnsi="宋体" w:eastAsia="宋体" w:cs="宋体"/>
          <w:color w:val="auto"/>
          <w:sz w:val="24"/>
          <w:szCs w:val="24"/>
          <w:highlight w:val="none"/>
        </w:rPr>
        <w:t>具体以采购人提供的清单、招标项目需求为准，采购人保留对上述工</w:t>
      </w:r>
      <w:r>
        <w:rPr>
          <w:rFonts w:hint="eastAsia" w:ascii="宋体" w:hAnsi="宋体" w:eastAsia="宋体" w:cs="宋体"/>
          <w:color w:val="auto"/>
          <w:sz w:val="24"/>
          <w:szCs w:val="24"/>
          <w:highlight w:val="none"/>
          <w:lang w:val="en-US" w:eastAsia="zh-CN"/>
        </w:rPr>
        <w:t>作</w:t>
      </w:r>
      <w:r>
        <w:rPr>
          <w:rFonts w:hint="eastAsia" w:ascii="宋体" w:hAnsi="宋体" w:eastAsia="宋体" w:cs="宋体"/>
          <w:color w:val="auto"/>
          <w:sz w:val="24"/>
          <w:szCs w:val="24"/>
          <w:highlight w:val="none"/>
        </w:rPr>
        <w:t>量及范围适当调整的权利,具体详见第四章</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需求。</w:t>
      </w:r>
    </w:p>
    <w:p w14:paraId="483E2BF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合同履行期限：从合同签订日起至202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年11月30日止，具体开始时间以采购人通知为准。</w:t>
      </w:r>
      <w:bookmarkStart w:id="14" w:name="OLE_LINK5"/>
      <w:r>
        <w:rPr>
          <w:rFonts w:hint="eastAsia" w:ascii="宋体" w:hAnsi="宋体" w:eastAsia="宋体" w:cs="宋体"/>
          <w:b/>
          <w:bCs/>
          <w:i w:val="0"/>
          <w:iCs w:val="0"/>
          <w:color w:val="auto"/>
          <w:sz w:val="24"/>
          <w:szCs w:val="24"/>
          <w:highlight w:val="none"/>
          <w:u w:val="none"/>
          <w:lang w:val="en-US" w:eastAsia="zh-CN"/>
        </w:rPr>
        <w:t>由于建军路</w:t>
      </w:r>
      <w:r>
        <w:rPr>
          <w:rFonts w:hint="eastAsia" w:ascii="宋体" w:hAnsi="宋体" w:cs="宋体"/>
          <w:b/>
          <w:bCs/>
          <w:i w:val="0"/>
          <w:iCs w:val="0"/>
          <w:color w:val="auto"/>
          <w:sz w:val="24"/>
          <w:szCs w:val="24"/>
          <w:highlight w:val="none"/>
          <w:u w:val="none"/>
          <w:lang w:val="en-US" w:eastAsia="zh-CN"/>
        </w:rPr>
        <w:t>相关</w:t>
      </w:r>
      <w:r>
        <w:rPr>
          <w:rFonts w:hint="eastAsia" w:ascii="宋体" w:hAnsi="宋体" w:eastAsia="宋体" w:cs="宋体"/>
          <w:b/>
          <w:bCs/>
          <w:i w:val="0"/>
          <w:iCs w:val="0"/>
          <w:color w:val="auto"/>
          <w:sz w:val="24"/>
          <w:szCs w:val="24"/>
          <w:highlight w:val="none"/>
          <w:u w:val="none"/>
          <w:lang w:val="en-US" w:eastAsia="zh-CN"/>
        </w:rPr>
        <w:t>项目影响</w:t>
      </w:r>
      <w:r>
        <w:rPr>
          <w:rFonts w:hint="eastAsia" w:ascii="宋体" w:hAnsi="宋体" w:cs="宋体"/>
          <w:b/>
          <w:bCs/>
          <w:i w:val="0"/>
          <w:iCs w:val="0"/>
          <w:color w:val="auto"/>
          <w:sz w:val="24"/>
          <w:szCs w:val="24"/>
          <w:highlight w:val="none"/>
          <w:u w:val="none"/>
          <w:lang w:val="en-US" w:eastAsia="zh-CN"/>
        </w:rPr>
        <w:t>，本项目</w:t>
      </w:r>
      <w:r>
        <w:rPr>
          <w:rFonts w:hint="eastAsia" w:ascii="宋体" w:hAnsi="宋体" w:eastAsia="宋体" w:cs="宋体"/>
          <w:b/>
          <w:bCs/>
          <w:color w:val="auto"/>
          <w:sz w:val="24"/>
          <w:szCs w:val="24"/>
          <w:highlight w:val="none"/>
          <w:u w:val="none"/>
          <w:lang w:val="en-US" w:eastAsia="zh-CN"/>
        </w:rPr>
        <w:t>建军路（解放路—小洋河）</w:t>
      </w:r>
      <w:r>
        <w:rPr>
          <w:rFonts w:hint="eastAsia" w:ascii="宋体" w:hAnsi="宋体" w:cs="宋体"/>
          <w:b/>
          <w:bCs/>
          <w:color w:val="auto"/>
          <w:sz w:val="24"/>
          <w:szCs w:val="24"/>
          <w:highlight w:val="none"/>
          <w:u w:val="none"/>
          <w:lang w:val="en-US" w:eastAsia="zh-CN"/>
        </w:rPr>
        <w:t>区域</w:t>
      </w:r>
      <w:r>
        <w:rPr>
          <w:rFonts w:hint="eastAsia" w:ascii="宋体" w:hAnsi="宋体" w:cs="宋体"/>
          <w:b/>
          <w:bCs/>
          <w:i w:val="0"/>
          <w:iCs w:val="0"/>
          <w:color w:val="auto"/>
          <w:sz w:val="24"/>
          <w:szCs w:val="24"/>
          <w:highlight w:val="none"/>
          <w:u w:val="none"/>
          <w:lang w:val="en-US" w:eastAsia="zh-CN"/>
        </w:rPr>
        <w:t>时令花卉</w:t>
      </w:r>
      <w:r>
        <w:rPr>
          <w:rFonts w:hint="eastAsia" w:ascii="宋体" w:hAnsi="宋体" w:eastAsia="宋体" w:cs="宋体"/>
          <w:b/>
          <w:bCs/>
          <w:i w:val="0"/>
          <w:iCs w:val="0"/>
          <w:color w:val="auto"/>
          <w:sz w:val="24"/>
          <w:szCs w:val="24"/>
          <w:highlight w:val="none"/>
          <w:u w:val="none"/>
          <w:lang w:val="en-US" w:eastAsia="zh-CN"/>
        </w:rPr>
        <w:t>第一遍布置时间为2026年春节前，其他区域</w:t>
      </w:r>
      <w:r>
        <w:rPr>
          <w:rFonts w:hint="eastAsia" w:ascii="宋体" w:hAnsi="宋体" w:cs="宋体"/>
          <w:b/>
          <w:bCs/>
          <w:i w:val="0"/>
          <w:iCs w:val="0"/>
          <w:color w:val="auto"/>
          <w:sz w:val="24"/>
          <w:szCs w:val="24"/>
          <w:highlight w:val="none"/>
          <w:u w:val="none"/>
          <w:lang w:val="en-US" w:eastAsia="zh-CN"/>
        </w:rPr>
        <w:t>第一遍布置时间为冬季，供应商须充分考虑季节气候因素布置，</w:t>
      </w:r>
      <w:r>
        <w:rPr>
          <w:rFonts w:hint="eastAsia" w:ascii="宋体" w:hAnsi="宋体" w:eastAsia="宋体" w:cs="宋体"/>
          <w:b/>
          <w:bCs/>
          <w:i w:val="0"/>
          <w:iCs w:val="0"/>
          <w:color w:val="auto"/>
          <w:sz w:val="24"/>
          <w:szCs w:val="24"/>
          <w:highlight w:val="none"/>
          <w:u w:val="none"/>
          <w:lang w:val="en-US" w:eastAsia="zh-CN"/>
        </w:rPr>
        <w:t>采购人不承担因此产生的任何费用。</w:t>
      </w:r>
      <w:r>
        <w:rPr>
          <w:rFonts w:hint="eastAsia" w:ascii="宋体" w:hAnsi="宋体" w:eastAsia="宋体" w:cs="宋体"/>
          <w:color w:val="auto"/>
          <w:sz w:val="24"/>
          <w:szCs w:val="24"/>
          <w:highlight w:val="none"/>
        </w:rPr>
        <w:t>根据采购人要求，更换指定时令花卉每年不少于4次（具体更换次数详按招标清单中要求执行）,经采购人同意后实施，</w:t>
      </w:r>
      <w:bookmarkEnd w:id="14"/>
      <w:r>
        <w:rPr>
          <w:rFonts w:hint="eastAsia" w:ascii="宋体" w:hAnsi="宋体" w:eastAsia="宋体" w:cs="宋体"/>
          <w:color w:val="auto"/>
          <w:sz w:val="24"/>
          <w:szCs w:val="24"/>
          <w:highlight w:val="none"/>
        </w:rPr>
        <w:t>时令花卉每次更换根据花卉长势，分段分批更换，每个地点更换空置期控制在2日内。</w:t>
      </w:r>
    </w:p>
    <w:p w14:paraId="72CDE58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质量标准：</w:t>
      </w:r>
      <w:r>
        <w:rPr>
          <w:rFonts w:hint="eastAsia" w:ascii="宋体" w:hAnsi="宋体" w:cs="宋体"/>
          <w:color w:val="auto"/>
          <w:sz w:val="24"/>
          <w:szCs w:val="24"/>
          <w:highlight w:val="none"/>
          <w:lang w:val="en-US" w:eastAsia="zh-CN"/>
        </w:rPr>
        <w:t>一级养护</w:t>
      </w:r>
      <w:r>
        <w:rPr>
          <w:rFonts w:hint="eastAsia" w:ascii="宋体" w:hAnsi="宋体" w:eastAsia="宋体" w:cs="宋体"/>
          <w:color w:val="auto"/>
          <w:sz w:val="24"/>
          <w:szCs w:val="24"/>
          <w:highlight w:val="none"/>
        </w:rPr>
        <w:t>标准。</w:t>
      </w:r>
    </w:p>
    <w:p w14:paraId="5E8CFF80">
      <w:pPr>
        <w:spacing w:line="360" w:lineRule="auto"/>
        <w:ind w:firstLine="480"/>
        <w:rPr>
          <w:rFonts w:hint="eastAsia" w:ascii="宋体" w:hAnsi="宋体" w:eastAsia="宋体" w:cs="宋体"/>
          <w:color w:val="auto"/>
          <w:sz w:val="24"/>
          <w:szCs w:val="24"/>
          <w:highlight w:val="none"/>
        </w:rPr>
      </w:pPr>
      <w:bookmarkStart w:id="15" w:name="_Toc28359003"/>
      <w:bookmarkStart w:id="16" w:name="_Toc28359080"/>
      <w:bookmarkStart w:id="17" w:name="_Toc35393622"/>
      <w:bookmarkStart w:id="18" w:name="_Toc35393791"/>
      <w:r>
        <w:rPr>
          <w:rFonts w:hint="eastAsia" w:ascii="宋体" w:hAnsi="宋体" w:eastAsia="宋体" w:cs="宋体"/>
          <w:color w:val="auto"/>
          <w:sz w:val="24"/>
          <w:szCs w:val="24"/>
          <w:highlight w:val="none"/>
        </w:rPr>
        <w:t>本项目（是/否）接受联合体投标：否</w:t>
      </w:r>
    </w:p>
    <w:p w14:paraId="096CEFC0">
      <w:pPr>
        <w:spacing w:line="360" w:lineRule="auto"/>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w:t>
      </w:r>
      <w:bookmarkEnd w:id="15"/>
      <w:bookmarkEnd w:id="16"/>
      <w:bookmarkEnd w:id="17"/>
      <w:bookmarkEnd w:id="18"/>
      <w:r>
        <w:rPr>
          <w:rFonts w:hint="eastAsia" w:ascii="宋体" w:hAnsi="宋体" w:eastAsia="宋体" w:cs="宋体"/>
          <w:b/>
          <w:bCs/>
          <w:color w:val="auto"/>
          <w:sz w:val="24"/>
          <w:szCs w:val="24"/>
          <w:highlight w:val="none"/>
        </w:rPr>
        <w:t>申请人的资格要求：</w:t>
      </w:r>
    </w:p>
    <w:p w14:paraId="6E4D8FA2">
      <w:pPr>
        <w:keepNext w:val="0"/>
        <w:keepLines w:val="0"/>
        <w:pageBreakBefore w:val="0"/>
        <w:widowControl/>
        <w:spacing w:line="360" w:lineRule="auto"/>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1.满足《中华人民共和国政府采购法》第二十二条规定，并提供下列材料：</w:t>
      </w:r>
    </w:p>
    <w:p w14:paraId="20779838">
      <w:pPr>
        <w:keepNext w:val="0"/>
        <w:keepLines w:val="0"/>
        <w:pageBreakBefore w:val="0"/>
        <w:widowControl/>
        <w:spacing w:line="360" w:lineRule="auto"/>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1.1法人或者其他组织的营业执照等证明文件，自然人的身份证明；</w:t>
      </w:r>
    </w:p>
    <w:p w14:paraId="2632E9BD">
      <w:pPr>
        <w:keepNext w:val="0"/>
        <w:keepLines w:val="0"/>
        <w:pageBreakBefore w:val="0"/>
        <w:widowControl/>
        <w:spacing w:line="360" w:lineRule="auto"/>
        <w:ind w:firstLine="480"/>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1.2上一年度的财务状况报表（成立不满一年无需提供）</w:t>
      </w:r>
      <w:r>
        <w:rPr>
          <w:rFonts w:hint="eastAsia" w:ascii="宋体" w:hAnsi="宋体" w:eastAsia="宋体" w:cs="宋体"/>
          <w:color w:val="auto"/>
          <w:sz w:val="24"/>
          <w:szCs w:val="20"/>
          <w:highlight w:val="none"/>
          <w:lang w:eastAsia="zh-CN"/>
        </w:rPr>
        <w:t>；</w:t>
      </w:r>
    </w:p>
    <w:p w14:paraId="497273DC">
      <w:pPr>
        <w:keepNext w:val="0"/>
        <w:keepLines w:val="0"/>
        <w:pageBreakBefore w:val="0"/>
        <w:widowControl/>
        <w:spacing w:line="360" w:lineRule="auto"/>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1.3具备履行合同所必需的设备和专业技术能力的书面声明；</w:t>
      </w:r>
    </w:p>
    <w:p w14:paraId="7F85B367">
      <w:pPr>
        <w:keepNext w:val="0"/>
        <w:keepLines w:val="0"/>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1.4依法缴纳税收和社会保障资金的相关材料（提供提交响应文件截止时间前一年内至少一个月依法缴纳税收及缴纳社会保障资金的证明材料。供应商依法享受缓缴、</w:t>
      </w:r>
    </w:p>
    <w:p w14:paraId="48EB39E7">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color w:val="auto"/>
          <w:highlight w:val="none"/>
        </w:rPr>
      </w:pPr>
      <w:r>
        <w:rPr>
          <w:rFonts w:hint="eastAsia" w:ascii="宋体" w:hAnsi="宋体" w:eastAsia="宋体" w:cs="宋体"/>
          <w:color w:val="auto"/>
          <w:sz w:val="24"/>
          <w:szCs w:val="20"/>
          <w:highlight w:val="none"/>
        </w:rPr>
        <w:t>免缴税收、社会保障资金的提供证明材料。）；</w:t>
      </w:r>
    </w:p>
    <w:p w14:paraId="2F4A6B3D">
      <w:pPr>
        <w:keepNext w:val="0"/>
        <w:keepLines w:val="0"/>
        <w:pageBreakBefore w:val="0"/>
        <w:widowControl/>
        <w:kinsoku/>
        <w:wordWrap/>
        <w:overflowPunct/>
        <w:topLinePunct w:val="0"/>
        <w:autoSpaceDE/>
        <w:autoSpaceDN/>
        <w:bidi w:val="0"/>
        <w:adjustRightInd/>
        <w:spacing w:line="360" w:lineRule="auto"/>
        <w:ind w:firstLine="480"/>
        <w:jc w:val="left"/>
        <w:textAlignment w:val="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1.5参加政府采购活动前3年内在经营活动中没有重大违法记录的书面声明</w:t>
      </w:r>
      <w:r>
        <w:rPr>
          <w:rFonts w:hint="eastAsia" w:ascii="宋体" w:hAnsi="宋体" w:eastAsia="宋体" w:cs="宋体"/>
          <w:color w:val="auto"/>
          <w:sz w:val="24"/>
          <w:szCs w:val="20"/>
          <w:highlight w:val="none"/>
          <w:lang w:eastAsia="zh-CN"/>
        </w:rPr>
        <w:t>；</w:t>
      </w:r>
    </w:p>
    <w:p w14:paraId="4B638DA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line="360" w:lineRule="auto"/>
        <w:ind w:firstLine="48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1.6法律、行政法规规定的其他条件</w:t>
      </w:r>
      <w:r>
        <w:rPr>
          <w:rFonts w:hint="eastAsia" w:ascii="宋体" w:hAnsi="宋体" w:eastAsia="宋体" w:cs="宋体"/>
          <w:color w:val="auto"/>
          <w:sz w:val="24"/>
          <w:highlight w:val="none"/>
          <w:lang w:eastAsia="zh-CN"/>
        </w:rPr>
        <w:t>；</w:t>
      </w:r>
    </w:p>
    <w:p w14:paraId="0DAEFD3E">
      <w:pPr>
        <w:keepNext w:val="0"/>
        <w:keepLines w:val="0"/>
        <w:pageBreakBefore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在“信用中国”网站（www.creditchina.gov.cn）查询，无被列入失信被执行人、重大税收违法案件当事人名单、政府采购严重失信行为记录名单</w:t>
      </w:r>
      <w:r>
        <w:rPr>
          <w:rFonts w:hint="eastAsia" w:ascii="宋体" w:hAnsi="宋体" w:cs="宋体"/>
          <w:color w:val="auto"/>
          <w:sz w:val="24"/>
          <w:szCs w:val="24"/>
          <w:highlight w:val="none"/>
          <w:lang w:eastAsia="zh-CN"/>
        </w:rPr>
        <w:t>；</w:t>
      </w:r>
    </w:p>
    <w:p w14:paraId="3815210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单位负责人为同一人或者存在直接控股、管理关系的不同供应商，不得参加同一合同项下的政府采购活动。</w:t>
      </w:r>
    </w:p>
    <w:p w14:paraId="419CE5C2">
      <w:pPr>
        <w:keepNext w:val="0"/>
        <w:keepLines w:val="0"/>
        <w:pageBreakBefore w:val="0"/>
        <w:widowControl/>
        <w:numPr>
          <w:ilvl w:val="0"/>
          <w:numId w:val="0"/>
        </w:numPr>
        <w:kinsoku/>
        <w:wordWrap/>
        <w:overflowPunct/>
        <w:topLinePunct w:val="0"/>
        <w:autoSpaceDE/>
        <w:autoSpaceDN/>
        <w:bidi w:val="0"/>
        <w:adjustRightInd/>
        <w:spacing w:line="360" w:lineRule="auto"/>
        <w:ind w:firstLine="480"/>
        <w:jc w:val="left"/>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2.</w:t>
      </w:r>
      <w:r>
        <w:rPr>
          <w:rFonts w:hint="eastAsia" w:ascii="宋体" w:hAnsi="宋体" w:eastAsia="宋体" w:cs="宋体"/>
          <w:color w:val="auto"/>
          <w:sz w:val="24"/>
          <w:szCs w:val="20"/>
          <w:highlight w:val="none"/>
        </w:rPr>
        <w:t>落实政府采购政策需满足的资格要求：</w:t>
      </w:r>
      <w:bookmarkStart w:id="19" w:name="OLE_LINK24"/>
      <w:bookmarkStart w:id="20" w:name="OLE_LINK23"/>
      <w:r>
        <w:rPr>
          <w:rFonts w:hint="eastAsia" w:ascii="宋体" w:hAnsi="宋体" w:eastAsia="宋体" w:cs="宋体"/>
          <w:color w:val="auto"/>
          <w:sz w:val="24"/>
          <w:szCs w:val="20"/>
          <w:highlight w:val="none"/>
        </w:rPr>
        <w:t>本项目专门面向中小企业采购。采购标的所属行业为</w:t>
      </w:r>
      <w:r>
        <w:rPr>
          <w:rFonts w:hint="eastAsia" w:ascii="宋体" w:hAnsi="宋体" w:eastAsia="宋体" w:cs="宋体"/>
          <w:color w:val="auto"/>
          <w:sz w:val="24"/>
          <w:szCs w:val="20"/>
          <w:highlight w:val="none"/>
          <w:u w:val="none"/>
          <w:lang w:val="en-US" w:eastAsia="zh-CN"/>
        </w:rPr>
        <w:t>其他未列明行业</w:t>
      </w:r>
      <w:r>
        <w:rPr>
          <w:rFonts w:hint="eastAsia" w:ascii="宋体" w:hAnsi="宋体" w:eastAsia="宋体" w:cs="宋体"/>
          <w:color w:val="auto"/>
          <w:sz w:val="24"/>
          <w:szCs w:val="20"/>
          <w:highlight w:val="none"/>
        </w:rPr>
        <w:t>，投标人</w:t>
      </w:r>
      <w:r>
        <w:rPr>
          <w:rFonts w:hint="eastAsia" w:ascii="宋体" w:hAnsi="宋体" w:eastAsia="宋体" w:cs="宋体"/>
          <w:color w:val="auto"/>
          <w:sz w:val="24"/>
          <w:szCs w:val="20"/>
          <w:highlight w:val="none"/>
          <w:lang w:val="en-US" w:eastAsia="zh-CN"/>
        </w:rPr>
        <w:t>必须</w:t>
      </w:r>
      <w:r>
        <w:rPr>
          <w:rFonts w:hint="eastAsia" w:ascii="宋体" w:hAnsi="宋体" w:eastAsia="宋体" w:cs="宋体"/>
          <w:color w:val="auto"/>
          <w:sz w:val="24"/>
          <w:szCs w:val="20"/>
          <w:highlight w:val="none"/>
        </w:rPr>
        <w:t>按照</w:t>
      </w:r>
      <w:r>
        <w:rPr>
          <w:rFonts w:hint="eastAsia" w:ascii="宋体" w:hAnsi="宋体" w:eastAsia="宋体" w:cs="宋体"/>
          <w:color w:val="auto"/>
          <w:sz w:val="24"/>
          <w:szCs w:val="20"/>
          <w:highlight w:val="none"/>
          <w:lang w:val="en-US" w:eastAsia="zh-CN"/>
        </w:rPr>
        <w:t>招标</w:t>
      </w:r>
      <w:r>
        <w:rPr>
          <w:rFonts w:hint="eastAsia" w:ascii="宋体" w:hAnsi="宋体" w:eastAsia="宋体" w:cs="宋体"/>
          <w:color w:val="auto"/>
          <w:sz w:val="24"/>
          <w:szCs w:val="20"/>
          <w:highlight w:val="none"/>
        </w:rPr>
        <w:t>文件的要求提供相应的《中小企业声明函》</w:t>
      </w:r>
      <w:r>
        <w:rPr>
          <w:rFonts w:hint="eastAsia" w:ascii="宋体" w:hAnsi="宋体" w:eastAsia="宋体" w:cs="宋体"/>
          <w:color w:val="auto"/>
          <w:sz w:val="24"/>
          <w:szCs w:val="20"/>
          <w:highlight w:val="none"/>
          <w:lang w:val="en-US" w:eastAsia="zh-CN"/>
        </w:rPr>
        <w:t>或《</w:t>
      </w:r>
      <w:r>
        <w:rPr>
          <w:rFonts w:hint="eastAsia" w:ascii="宋体" w:hAnsi="宋体" w:eastAsia="宋体" w:cs="宋体"/>
          <w:color w:val="auto"/>
          <w:sz w:val="24"/>
          <w:szCs w:val="20"/>
          <w:highlight w:val="none"/>
        </w:rPr>
        <w:t>残疾人福利性单位声明函</w:t>
      </w:r>
      <w:r>
        <w:rPr>
          <w:rFonts w:hint="eastAsia" w:ascii="宋体" w:hAnsi="宋体" w:eastAsia="宋体" w:cs="宋体"/>
          <w:color w:val="auto"/>
          <w:sz w:val="24"/>
          <w:szCs w:val="20"/>
          <w:highlight w:val="none"/>
          <w:lang w:val="en-US" w:eastAsia="zh-CN"/>
        </w:rPr>
        <w:t>》或</w:t>
      </w:r>
      <w:r>
        <w:rPr>
          <w:rFonts w:hint="eastAsia" w:ascii="宋体" w:hAnsi="宋体" w:eastAsia="宋体" w:cs="宋体"/>
          <w:bCs/>
          <w:color w:val="auto"/>
          <w:sz w:val="24"/>
          <w:szCs w:val="24"/>
          <w:highlight w:val="none"/>
          <w:lang w:val="en-US" w:eastAsia="zh-CN" w:bidi="ar-SA"/>
        </w:rPr>
        <w:t>由省级以上监狱管理局、戒毒管理局(含新疆生产建设兵团)出具的属于监狱企业的证明文件</w:t>
      </w:r>
      <w:r>
        <w:rPr>
          <w:rFonts w:hint="eastAsia" w:ascii="宋体" w:hAnsi="宋体" w:eastAsia="宋体" w:cs="宋体"/>
          <w:color w:val="auto"/>
          <w:sz w:val="24"/>
          <w:szCs w:val="20"/>
          <w:highlight w:val="none"/>
        </w:rPr>
        <w:t>。企业标准请参照《关于印发中小企业划型标准规定的通知》（工信部联企业[2011]300号）文件规定自行填写。</w:t>
      </w:r>
      <w:bookmarkEnd w:id="19"/>
      <w:bookmarkEnd w:id="20"/>
    </w:p>
    <w:p w14:paraId="0BFEB69C">
      <w:pPr>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3、本项目的特定资格要求：</w:t>
      </w:r>
      <w:r>
        <w:rPr>
          <w:rFonts w:hint="eastAsia" w:ascii="宋体" w:hAnsi="宋体" w:eastAsia="宋体" w:cs="宋体"/>
          <w:color w:val="auto"/>
          <w:sz w:val="24"/>
          <w:szCs w:val="24"/>
          <w:highlight w:val="none"/>
          <w:lang w:val="en-US" w:eastAsia="zh-CN"/>
        </w:rPr>
        <w:t>无。</w:t>
      </w:r>
    </w:p>
    <w:p w14:paraId="56448FEE">
      <w:pPr>
        <w:spacing w:line="360" w:lineRule="auto"/>
        <w:ind w:firstLine="482"/>
        <w:rPr>
          <w:rFonts w:hint="eastAsia" w:ascii="宋体" w:hAnsi="宋体" w:eastAsia="宋体" w:cs="宋体"/>
          <w:b/>
          <w:bCs/>
          <w:color w:val="auto"/>
          <w:sz w:val="24"/>
          <w:szCs w:val="24"/>
          <w:highlight w:val="none"/>
        </w:rPr>
      </w:pPr>
      <w:bookmarkStart w:id="21" w:name="_Toc35393623"/>
      <w:bookmarkStart w:id="22" w:name="_Toc28359081"/>
      <w:bookmarkStart w:id="23" w:name="_Toc28359004"/>
      <w:bookmarkStart w:id="24" w:name="_Toc35393792"/>
      <w:r>
        <w:rPr>
          <w:rFonts w:hint="eastAsia" w:ascii="宋体" w:hAnsi="宋体" w:eastAsia="宋体" w:cs="宋体"/>
          <w:b/>
          <w:bCs/>
          <w:color w:val="auto"/>
          <w:sz w:val="24"/>
          <w:szCs w:val="24"/>
          <w:highlight w:val="none"/>
        </w:rPr>
        <w:t>三、获取招标文件</w:t>
      </w:r>
      <w:bookmarkEnd w:id="21"/>
      <w:bookmarkEnd w:id="22"/>
      <w:bookmarkEnd w:id="23"/>
      <w:bookmarkEnd w:id="24"/>
      <w:bookmarkStart w:id="25" w:name="_Toc28359082"/>
      <w:bookmarkStart w:id="26" w:name="_Toc28359005"/>
      <w:bookmarkStart w:id="27" w:name="_Toc35393793"/>
      <w:bookmarkStart w:id="28" w:name="_Toc35393624"/>
    </w:p>
    <w:p w14:paraId="5FF8F8F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时间：自招标文件公告发布之日起5个工作日。</w:t>
      </w:r>
    </w:p>
    <w:p w14:paraId="04769862">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地点：“苏采云”系统内免费下载（投标人必须在苏采云系统中获取采购文件，方能参与政府采购项目）</w:t>
      </w:r>
      <w:r>
        <w:rPr>
          <w:rFonts w:hint="eastAsia" w:ascii="宋体" w:hAnsi="宋体" w:eastAsia="宋体" w:cs="宋体"/>
          <w:color w:val="auto"/>
          <w:sz w:val="24"/>
          <w:szCs w:val="24"/>
          <w:highlight w:val="none"/>
          <w:lang w:eastAsia="zh-CN"/>
        </w:rPr>
        <w:t>。</w:t>
      </w:r>
    </w:p>
    <w:p w14:paraId="3B9EA08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方式：本项目采用网上注册登记方式。</w:t>
      </w:r>
    </w:p>
    <w:p w14:paraId="7741D9B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售价：0.00元。</w:t>
      </w:r>
    </w:p>
    <w:p w14:paraId="22AEAF8D">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四、提交投标文件</w:t>
      </w:r>
      <w:bookmarkEnd w:id="25"/>
      <w:bookmarkEnd w:id="26"/>
      <w:r>
        <w:rPr>
          <w:rFonts w:hint="eastAsia" w:ascii="宋体" w:hAnsi="宋体" w:eastAsia="宋体" w:cs="宋体"/>
          <w:b/>
          <w:bCs/>
          <w:color w:val="auto"/>
          <w:sz w:val="24"/>
          <w:szCs w:val="24"/>
          <w:highlight w:val="none"/>
        </w:rPr>
        <w:t>截止时间、开标时间和地点</w:t>
      </w:r>
      <w:bookmarkEnd w:id="27"/>
      <w:bookmarkEnd w:id="28"/>
    </w:p>
    <w:p w14:paraId="240CDA83">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u w:val="none"/>
        </w:rPr>
        <w:t>202</w:t>
      </w:r>
      <w:r>
        <w:rPr>
          <w:rFonts w:hint="eastAsia" w:ascii="宋体" w:hAnsi="宋体" w:eastAsia="宋体" w:cs="宋体"/>
          <w:color w:val="auto"/>
          <w:sz w:val="24"/>
          <w:szCs w:val="24"/>
          <w:highlight w:val="none"/>
          <w:u w:val="none"/>
          <w:lang w:val="en-US" w:eastAsia="zh-CN"/>
        </w:rPr>
        <w:t>5</w:t>
      </w:r>
      <w:r>
        <w:rPr>
          <w:rFonts w:hint="eastAsia" w:ascii="宋体" w:hAnsi="宋体" w:cs="宋体"/>
          <w:bCs/>
          <w:color w:val="auto"/>
          <w:sz w:val="24"/>
          <w:szCs w:val="24"/>
          <w:highlight w:val="none"/>
          <w:u w:val="none"/>
          <w:lang w:val="en-US" w:eastAsia="zh-CN"/>
        </w:rPr>
        <w:t>-</w:t>
      </w:r>
      <w:r>
        <w:rPr>
          <w:rFonts w:hint="eastAsia" w:ascii="宋体" w:hAnsi="宋体" w:eastAsia="宋体" w:cs="宋体"/>
          <w:bCs/>
          <w:color w:val="auto"/>
          <w:sz w:val="24"/>
          <w:szCs w:val="24"/>
          <w:highlight w:val="none"/>
          <w:u w:val="none"/>
          <w:lang w:val="en-US" w:eastAsia="zh-CN"/>
        </w:rPr>
        <w:t>1</w:t>
      </w:r>
      <w:r>
        <w:rPr>
          <w:rFonts w:hint="eastAsia" w:ascii="宋体" w:hAnsi="宋体" w:cs="宋体"/>
          <w:bCs/>
          <w:color w:val="auto"/>
          <w:sz w:val="24"/>
          <w:szCs w:val="24"/>
          <w:highlight w:val="none"/>
          <w:u w:val="none"/>
          <w:lang w:val="en-US" w:eastAsia="zh-CN"/>
        </w:rPr>
        <w:t xml:space="preserve">2-24 </w:t>
      </w:r>
      <w:r>
        <w:rPr>
          <w:rFonts w:hint="eastAsia" w:ascii="宋体" w:hAnsi="宋体" w:eastAsia="宋体" w:cs="宋体"/>
          <w:bCs/>
          <w:color w:val="auto"/>
          <w:sz w:val="24"/>
          <w:szCs w:val="24"/>
          <w:highlight w:val="none"/>
          <w:u w:val="none"/>
          <w:lang w:val="en-US" w:eastAsia="zh-CN"/>
        </w:rPr>
        <w:t>09</w:t>
      </w:r>
      <w:r>
        <w:rPr>
          <w:rFonts w:hint="eastAsia" w:ascii="宋体" w:hAnsi="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none"/>
          <w:lang w:val="en-US" w:eastAsia="zh-CN"/>
        </w:rPr>
        <w:t>00</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北京时间）</w:t>
      </w:r>
    </w:p>
    <w:p w14:paraId="793D7C5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en-US" w:eastAsia="zh-CN"/>
        </w:rPr>
        <w:t>苏采云“不见面”开标大厅</w:t>
      </w:r>
    </w:p>
    <w:p w14:paraId="50542C3A">
      <w:pPr>
        <w:spacing w:line="360" w:lineRule="auto"/>
        <w:ind w:firstLine="482"/>
        <w:jc w:val="left"/>
        <w:rPr>
          <w:rFonts w:hint="eastAsia" w:ascii="宋体" w:hAnsi="宋体" w:eastAsia="宋体" w:cs="宋体"/>
          <w:b/>
          <w:bCs/>
          <w:color w:val="auto"/>
          <w:sz w:val="24"/>
          <w:szCs w:val="24"/>
          <w:highlight w:val="none"/>
        </w:rPr>
      </w:pPr>
      <w:bookmarkStart w:id="29" w:name="_Toc35393794"/>
      <w:bookmarkStart w:id="30" w:name="_Toc28359084"/>
      <w:bookmarkStart w:id="31" w:name="_Toc35393625"/>
      <w:bookmarkStart w:id="32" w:name="_Toc28359007"/>
      <w:r>
        <w:rPr>
          <w:rFonts w:hint="eastAsia" w:ascii="宋体" w:hAnsi="宋体" w:eastAsia="宋体" w:cs="宋体"/>
          <w:b/>
          <w:bCs/>
          <w:color w:val="auto"/>
          <w:sz w:val="24"/>
          <w:szCs w:val="24"/>
          <w:highlight w:val="none"/>
        </w:rPr>
        <w:t>五、公告期限</w:t>
      </w:r>
      <w:bookmarkEnd w:id="29"/>
      <w:bookmarkEnd w:id="30"/>
      <w:bookmarkEnd w:id="31"/>
      <w:bookmarkEnd w:id="32"/>
    </w:p>
    <w:p w14:paraId="4FE4768D">
      <w:pPr>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636F4A4D">
      <w:pPr>
        <w:keepNext/>
        <w:keepLines w:val="0"/>
        <w:pageBreakBefore w:val="0"/>
        <w:tabs>
          <w:tab w:val="left" w:pos="0"/>
          <w:tab w:val="left" w:pos="3165"/>
          <w:tab w:val="center" w:pos="4153"/>
        </w:tabs>
        <w:kinsoku/>
        <w:wordWrap/>
        <w:overflowPunct/>
        <w:topLinePunct w:val="0"/>
        <w:autoSpaceDE/>
        <w:autoSpaceDN/>
        <w:bidi w:val="0"/>
        <w:adjustRightInd/>
        <w:snapToGrid w:val="0"/>
        <w:spacing w:line="360" w:lineRule="auto"/>
        <w:ind w:firstLine="482"/>
        <w:jc w:val="left"/>
        <w:textAlignment w:val="auto"/>
        <w:outlineLvl w:val="0"/>
        <w:rPr>
          <w:rFonts w:hint="eastAsia" w:ascii="宋体" w:hAnsi="宋体" w:eastAsia="宋体" w:cs="宋体"/>
          <w:b/>
          <w:bCs/>
          <w:color w:val="auto"/>
          <w:sz w:val="24"/>
          <w:szCs w:val="24"/>
          <w:highlight w:val="none"/>
        </w:rPr>
      </w:pPr>
      <w:bookmarkStart w:id="33" w:name="_Toc35393795"/>
      <w:bookmarkStart w:id="34" w:name="_Toc35393626"/>
      <w:r>
        <w:rPr>
          <w:rFonts w:hint="eastAsia" w:ascii="宋体" w:hAnsi="宋体" w:eastAsia="宋体" w:cs="宋体"/>
          <w:b/>
          <w:bCs/>
          <w:color w:val="auto"/>
          <w:sz w:val="24"/>
          <w:szCs w:val="24"/>
          <w:highlight w:val="none"/>
        </w:rPr>
        <w:t>六、其他补充事宜</w:t>
      </w:r>
      <w:bookmarkEnd w:id="33"/>
      <w:bookmarkEnd w:id="34"/>
    </w:p>
    <w:p w14:paraId="194EF0A9">
      <w:pPr>
        <w:keepLines w:val="0"/>
        <w:pageBreakBefore w:val="0"/>
        <w:widowControl/>
        <w:kinsoku/>
        <w:wordWrap/>
        <w:overflowPunct/>
        <w:topLinePunct w:val="0"/>
        <w:autoSpaceDE/>
        <w:autoSpaceDN/>
        <w:bidi w:val="0"/>
        <w:adjustRightInd/>
        <w:snapToGrid w:val="0"/>
        <w:spacing w:line="360" w:lineRule="auto"/>
        <w:ind w:firstLine="480"/>
        <w:textAlignment w:val="auto"/>
        <w:rPr>
          <w:color w:val="auto"/>
          <w:sz w:val="24"/>
          <w:szCs w:val="20"/>
          <w:highlight w:val="none"/>
        </w:rPr>
      </w:pPr>
      <w:bookmarkStart w:id="35" w:name="_Toc28359085"/>
      <w:bookmarkStart w:id="36" w:name="_Toc35393627"/>
      <w:bookmarkStart w:id="37" w:name="_Toc35393796"/>
      <w:bookmarkStart w:id="38" w:name="_Toc28359008"/>
      <w:r>
        <w:rPr>
          <w:rFonts w:hint="eastAsia"/>
          <w:color w:val="auto"/>
          <w:sz w:val="24"/>
          <w:szCs w:val="20"/>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p>
    <w:p w14:paraId="7649D691">
      <w:pPr>
        <w:keepLines w:val="0"/>
        <w:pageBreakBefore w:val="0"/>
        <w:widowControl/>
        <w:kinsoku/>
        <w:wordWrap/>
        <w:overflowPunct/>
        <w:topLinePunct w:val="0"/>
        <w:autoSpaceDE/>
        <w:autoSpaceDN/>
        <w:bidi w:val="0"/>
        <w:adjustRightInd/>
        <w:snapToGrid w:val="0"/>
        <w:spacing w:line="360" w:lineRule="auto"/>
        <w:ind w:firstLine="480"/>
        <w:textAlignment w:val="auto"/>
        <w:rPr>
          <w:color w:val="auto"/>
          <w:sz w:val="24"/>
          <w:szCs w:val="20"/>
          <w:highlight w:val="none"/>
        </w:rPr>
      </w:pPr>
      <w:r>
        <w:rPr>
          <w:rFonts w:hint="eastAsia"/>
          <w:color w:val="auto"/>
          <w:sz w:val="24"/>
          <w:szCs w:val="20"/>
          <w:highlight w:val="none"/>
        </w:rPr>
        <w:t>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p>
    <w:p w14:paraId="63172CCA">
      <w:pPr>
        <w:keepLines w:val="0"/>
        <w:pageBreakBefore w:val="0"/>
        <w:widowControl/>
        <w:kinsoku/>
        <w:wordWrap/>
        <w:overflowPunct/>
        <w:topLinePunct w:val="0"/>
        <w:autoSpaceDE/>
        <w:autoSpaceDN/>
        <w:bidi w:val="0"/>
        <w:adjustRightInd/>
        <w:snapToGrid w:val="0"/>
        <w:spacing w:line="360" w:lineRule="auto"/>
        <w:ind w:firstLine="480"/>
        <w:textAlignment w:val="auto"/>
        <w:rPr>
          <w:color w:val="auto"/>
          <w:sz w:val="24"/>
          <w:szCs w:val="20"/>
          <w:highlight w:val="none"/>
        </w:rPr>
      </w:pPr>
      <w:r>
        <w:rPr>
          <w:rFonts w:hint="eastAsia"/>
          <w:color w:val="auto"/>
          <w:sz w:val="24"/>
          <w:szCs w:val="20"/>
          <w:highlight w:val="none"/>
        </w:rPr>
        <w:t xml:space="preserve">2.潜在投标人访问电子招标响应交易平台的网络地址和方法： </w:t>
      </w:r>
    </w:p>
    <w:p w14:paraId="7CDE2AEA">
      <w:pPr>
        <w:keepLines w:val="0"/>
        <w:pageBreakBefore w:val="0"/>
        <w:widowControl/>
        <w:kinsoku/>
        <w:wordWrap/>
        <w:overflowPunct/>
        <w:topLinePunct w:val="0"/>
        <w:autoSpaceDE/>
        <w:autoSpaceDN/>
        <w:bidi w:val="0"/>
        <w:adjustRightInd/>
        <w:snapToGrid w:val="0"/>
        <w:spacing w:line="360" w:lineRule="auto"/>
        <w:ind w:firstLine="480"/>
        <w:textAlignment w:val="auto"/>
        <w:rPr>
          <w:color w:val="auto"/>
          <w:sz w:val="24"/>
          <w:szCs w:val="20"/>
          <w:highlight w:val="none"/>
        </w:rPr>
      </w:pPr>
      <w:r>
        <w:rPr>
          <w:rFonts w:hint="eastAsia"/>
          <w:color w:val="auto"/>
          <w:sz w:val="24"/>
          <w:szCs w:val="20"/>
          <w:highlight w:val="none"/>
        </w:rPr>
        <w:t xml:space="preserve">2.1“苏采云”系统用户注册--获取“CA 数字证书”--CA 绑定与登录--参与投标--下载招标文件（后缀名为“.kedt”）--将后缀名为“.kedt”的招标文件导入政府采购客户端工具--制作响应文件--导出加密的响应文件（后缀名为 zip）--通过“苏采云”系统上传响应文件。具体见《“苏采云”系统投标人操作手册》（手册下载地址：苏采云系统-右侧消息通知栏）。 </w:t>
      </w:r>
    </w:p>
    <w:p w14:paraId="170FF670">
      <w:pPr>
        <w:keepLines w:val="0"/>
        <w:pageBreakBefore w:val="0"/>
        <w:widowControl/>
        <w:kinsoku/>
        <w:wordWrap/>
        <w:overflowPunct/>
        <w:topLinePunct w:val="0"/>
        <w:autoSpaceDE/>
        <w:autoSpaceDN/>
        <w:bidi w:val="0"/>
        <w:adjustRightInd/>
        <w:snapToGrid w:val="0"/>
        <w:spacing w:line="360" w:lineRule="auto"/>
        <w:ind w:firstLine="480"/>
        <w:textAlignment w:val="auto"/>
        <w:rPr>
          <w:color w:val="auto"/>
          <w:sz w:val="24"/>
          <w:szCs w:val="20"/>
          <w:highlight w:val="none"/>
        </w:rPr>
      </w:pPr>
      <w:r>
        <w:rPr>
          <w:rFonts w:hint="eastAsia"/>
          <w:color w:val="auto"/>
          <w:sz w:val="24"/>
          <w:szCs w:val="20"/>
          <w:highlight w:val="none"/>
        </w:rPr>
        <w:t>2.2 潜在投标人访问“苏采云”系统方法：江苏省政府采购网首页-“苏采云”链接。</w:t>
      </w:r>
    </w:p>
    <w:p w14:paraId="49604CB7">
      <w:pPr>
        <w:keepLines w:val="0"/>
        <w:pageBreakBefore w:val="0"/>
        <w:widowControl/>
        <w:kinsoku/>
        <w:wordWrap/>
        <w:overflowPunct/>
        <w:topLinePunct w:val="0"/>
        <w:autoSpaceDE/>
        <w:autoSpaceDN/>
        <w:bidi w:val="0"/>
        <w:adjustRightInd/>
        <w:snapToGrid w:val="0"/>
        <w:spacing w:line="360" w:lineRule="auto"/>
        <w:ind w:firstLine="480"/>
        <w:textAlignment w:val="auto"/>
        <w:rPr>
          <w:color w:val="auto"/>
          <w:sz w:val="24"/>
          <w:szCs w:val="20"/>
          <w:highlight w:val="none"/>
        </w:rPr>
      </w:pPr>
      <w:r>
        <w:rPr>
          <w:rFonts w:hint="eastAsia"/>
          <w:color w:val="auto"/>
          <w:sz w:val="24"/>
          <w:szCs w:val="20"/>
          <w:highlight w:val="none"/>
        </w:rPr>
        <w:t xml:space="preserve">2.3 招标文件（后缀名为“.kedt”）、投标人操作手册及政府采购客户端工具可通过“苏采云”系统相应链接进行下载。 </w:t>
      </w:r>
    </w:p>
    <w:p w14:paraId="4A4F548F">
      <w:pPr>
        <w:keepLines w:val="0"/>
        <w:pageBreakBefore w:val="0"/>
        <w:widowControl/>
        <w:kinsoku/>
        <w:wordWrap/>
        <w:overflowPunct/>
        <w:topLinePunct w:val="0"/>
        <w:autoSpaceDE/>
        <w:autoSpaceDN/>
        <w:bidi w:val="0"/>
        <w:adjustRightInd/>
        <w:snapToGrid w:val="0"/>
        <w:spacing w:line="360" w:lineRule="auto"/>
        <w:ind w:firstLine="480"/>
        <w:textAlignment w:val="auto"/>
        <w:rPr>
          <w:color w:val="auto"/>
          <w:sz w:val="24"/>
          <w:szCs w:val="20"/>
          <w:highlight w:val="none"/>
        </w:rPr>
      </w:pPr>
      <w:r>
        <w:rPr>
          <w:rFonts w:hint="eastAsia"/>
          <w:color w:val="auto"/>
          <w:sz w:val="24"/>
          <w:szCs w:val="20"/>
          <w:highlight w:val="none"/>
        </w:rPr>
        <w:t xml:space="preserve">2.4 采购代理机构将数据电文形式的招标文件加载至“苏采云”系统，供潜在投标人下载或者查阅。 </w:t>
      </w:r>
    </w:p>
    <w:p w14:paraId="0C87FAA7">
      <w:pPr>
        <w:keepLines w:val="0"/>
        <w:pageBreakBefore w:val="0"/>
        <w:widowControl/>
        <w:kinsoku/>
        <w:wordWrap/>
        <w:overflowPunct/>
        <w:topLinePunct w:val="0"/>
        <w:autoSpaceDE/>
        <w:autoSpaceDN/>
        <w:bidi w:val="0"/>
        <w:adjustRightInd/>
        <w:snapToGrid w:val="0"/>
        <w:spacing w:line="360" w:lineRule="auto"/>
        <w:ind w:firstLine="480"/>
        <w:textAlignment w:val="auto"/>
        <w:rPr>
          <w:color w:val="auto"/>
          <w:sz w:val="24"/>
          <w:szCs w:val="20"/>
          <w:highlight w:val="none"/>
        </w:rPr>
      </w:pPr>
      <w:r>
        <w:rPr>
          <w:rFonts w:hint="eastAsia"/>
          <w:color w:val="auto"/>
          <w:sz w:val="24"/>
          <w:szCs w:val="20"/>
          <w:highlight w:val="none"/>
        </w:rPr>
        <w:t xml:space="preserve">2.5 请潜在投标单位提前安装相应的控件（详见《“苏采云”系统投标人操作手册》）并使用谷歌浏览器登录“苏采云”系统参与不见面开评标。 </w:t>
      </w:r>
    </w:p>
    <w:p w14:paraId="77BE4386">
      <w:pPr>
        <w:keepNext w:val="0"/>
        <w:keepLines w:val="0"/>
        <w:pageBreakBefore w:val="0"/>
        <w:widowControl/>
        <w:kinsoku/>
        <w:wordWrap/>
        <w:overflowPunct/>
        <w:topLinePunct w:val="0"/>
        <w:autoSpaceDE/>
        <w:autoSpaceDN/>
        <w:bidi w:val="0"/>
        <w:adjustRightInd/>
        <w:snapToGrid w:val="0"/>
        <w:spacing w:line="360" w:lineRule="auto"/>
        <w:ind w:firstLine="482"/>
        <w:textAlignment w:val="auto"/>
        <w:rPr>
          <w:color w:val="auto"/>
          <w:sz w:val="24"/>
          <w:szCs w:val="20"/>
          <w:highlight w:val="none"/>
        </w:rPr>
      </w:pPr>
      <w:r>
        <w:rPr>
          <w:rFonts w:hint="eastAsia"/>
          <w:color w:val="auto"/>
          <w:sz w:val="24"/>
          <w:szCs w:val="20"/>
          <w:highlight w:val="none"/>
        </w:rPr>
        <w:t>如潜在投标人未按上述要求操作，将自行承担所产生的风险。</w:t>
      </w:r>
    </w:p>
    <w:p w14:paraId="4020F729">
      <w:pPr>
        <w:keepNext w:val="0"/>
        <w:keepLines w:val="0"/>
        <w:pageBreakBefore w:val="0"/>
        <w:widowControl/>
        <w:kinsoku/>
        <w:wordWrap/>
        <w:overflowPunct/>
        <w:topLinePunct w:val="0"/>
        <w:autoSpaceDE/>
        <w:autoSpaceDN/>
        <w:bidi w:val="0"/>
        <w:adjustRightInd/>
        <w:snapToGrid w:val="0"/>
        <w:spacing w:line="360" w:lineRule="auto"/>
        <w:ind w:firstLine="482"/>
        <w:textAlignment w:val="auto"/>
        <w:rPr>
          <w:color w:val="auto"/>
          <w:sz w:val="24"/>
          <w:szCs w:val="20"/>
          <w:highlight w:val="none"/>
        </w:rPr>
      </w:pPr>
      <w:r>
        <w:rPr>
          <w:rFonts w:hint="eastAsia"/>
          <w:color w:val="auto"/>
          <w:sz w:val="24"/>
          <w:szCs w:val="20"/>
          <w:highlight w:val="none"/>
        </w:rPr>
        <w:t>3.有关本次招标的事项若存在变动或修改，敬请及时关注</w:t>
      </w:r>
      <w:r>
        <w:rPr>
          <w:rFonts w:hint="eastAsia"/>
          <w:color w:val="auto"/>
          <w:sz w:val="24"/>
          <w:szCs w:val="20"/>
          <w:highlight w:val="none"/>
          <w:lang w:val="en-US" w:eastAsia="zh-CN"/>
        </w:rPr>
        <w:t>采购人</w:t>
      </w:r>
      <w:r>
        <w:rPr>
          <w:rFonts w:hint="eastAsia"/>
          <w:color w:val="auto"/>
          <w:sz w:val="24"/>
          <w:szCs w:val="20"/>
          <w:highlight w:val="none"/>
        </w:rPr>
        <w:t>在“中国政府采购网”、“江苏政府采购网”、“盐城市政府采购网”发布的更正公告。</w:t>
      </w:r>
    </w:p>
    <w:p w14:paraId="62D27C1D">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color w:val="auto"/>
          <w:sz w:val="24"/>
          <w:szCs w:val="20"/>
          <w:highlight w:val="none"/>
        </w:rPr>
      </w:pPr>
      <w:r>
        <w:rPr>
          <w:rFonts w:hint="eastAsia"/>
          <w:color w:val="auto"/>
          <w:sz w:val="24"/>
          <w:szCs w:val="20"/>
          <w:highlight w:val="none"/>
        </w:rPr>
        <w:t>4.本次招标不收取投标保证金，不收取质量保证金。</w:t>
      </w:r>
    </w:p>
    <w:p w14:paraId="04B71066">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七、对本次招标提出询问，请按以下方式联系。</w:t>
      </w:r>
      <w:bookmarkEnd w:id="35"/>
      <w:bookmarkEnd w:id="36"/>
      <w:bookmarkEnd w:id="37"/>
      <w:bookmarkEnd w:id="38"/>
    </w:p>
    <w:p w14:paraId="26085D2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采购人信息</w:t>
      </w:r>
    </w:p>
    <w:p w14:paraId="38BA58A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称：盐城市园林绿化管理处</w:t>
      </w:r>
    </w:p>
    <w:p w14:paraId="2626C56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u w:val="none"/>
          <w:lang w:val="en-US" w:eastAsia="zh-CN"/>
        </w:rPr>
        <w:t>盐城市</w:t>
      </w:r>
      <w:r>
        <w:rPr>
          <w:rFonts w:hint="eastAsia" w:ascii="宋体" w:hAnsi="宋体" w:cs="宋体"/>
          <w:color w:val="auto"/>
          <w:sz w:val="24"/>
          <w:szCs w:val="24"/>
          <w:highlight w:val="none"/>
          <w:u w:val="none"/>
          <w:lang w:val="en-US" w:eastAsia="zh-CN"/>
        </w:rPr>
        <w:t>世纪大道25号</w:t>
      </w:r>
    </w:p>
    <w:p w14:paraId="6E3D213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张</w:t>
      </w:r>
      <w:r>
        <w:rPr>
          <w:rFonts w:hint="eastAsia" w:ascii="宋体" w:hAnsi="宋体" w:eastAsia="宋体" w:cs="宋体"/>
          <w:color w:val="auto"/>
          <w:sz w:val="24"/>
          <w:szCs w:val="24"/>
          <w:highlight w:val="none"/>
        </w:rPr>
        <w:t>先生</w:t>
      </w:r>
    </w:p>
    <w:p w14:paraId="2BCAA19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w:t>
      </w:r>
      <w:r>
        <w:rPr>
          <w:rFonts w:hint="eastAsia" w:ascii="宋体" w:hAnsi="宋体" w:eastAsia="宋体" w:cs="宋体"/>
          <w:color w:val="auto"/>
          <w:sz w:val="24"/>
          <w:szCs w:val="24"/>
          <w:highlight w:val="none"/>
          <w:lang w:val="en-US" w:eastAsia="zh-CN"/>
        </w:rPr>
        <w:t>电话</w:t>
      </w:r>
      <w:r>
        <w:rPr>
          <w:rFonts w:hint="eastAsia" w:ascii="宋体" w:hAnsi="宋体" w:eastAsia="宋体" w:cs="宋体"/>
          <w:color w:val="auto"/>
          <w:sz w:val="24"/>
          <w:szCs w:val="24"/>
          <w:highlight w:val="none"/>
        </w:rPr>
        <w:t>：</w:t>
      </w:r>
      <w:bookmarkStart w:id="39" w:name="_Toc28359009"/>
      <w:bookmarkEnd w:id="39"/>
      <w:r>
        <w:rPr>
          <w:rFonts w:hint="eastAsia" w:ascii="宋体" w:hAnsi="宋体" w:eastAsia="宋体" w:cs="宋体"/>
          <w:color w:val="auto"/>
          <w:sz w:val="24"/>
          <w:szCs w:val="24"/>
          <w:highlight w:val="none"/>
        </w:rPr>
        <w:t>0515-88271950</w:t>
      </w:r>
    </w:p>
    <w:p w14:paraId="4383233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采购代理机构信息</w:t>
      </w:r>
    </w:p>
    <w:p w14:paraId="6C7490A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江苏建安工程管理咨询有限公司</w:t>
      </w:r>
    </w:p>
    <w:p w14:paraId="323A220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射阳县城幸福华城E1-5号楼214-223号</w:t>
      </w:r>
    </w:p>
    <w:p w14:paraId="50E11CF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倪先生</w:t>
      </w:r>
    </w:p>
    <w:p w14:paraId="16225DE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联系方式：18</w:t>
      </w:r>
      <w:r>
        <w:rPr>
          <w:rFonts w:hint="eastAsia" w:ascii="宋体" w:hAnsi="宋体" w:eastAsia="宋体" w:cs="宋体"/>
          <w:color w:val="auto"/>
          <w:sz w:val="24"/>
          <w:szCs w:val="24"/>
          <w:highlight w:val="none"/>
          <w:lang w:val="en-US" w:eastAsia="zh-CN"/>
        </w:rPr>
        <w:t>452509777</w:t>
      </w:r>
    </w:p>
    <w:p w14:paraId="07E0DC3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40" w:name="_Toc28359021"/>
      <w:r>
        <w:rPr>
          <w:rFonts w:hint="eastAsia" w:ascii="宋体" w:hAnsi="宋体" w:eastAsia="宋体" w:cs="宋体"/>
          <w:color w:val="auto"/>
          <w:sz w:val="24"/>
          <w:szCs w:val="24"/>
          <w:highlight w:val="none"/>
        </w:rPr>
        <w:t>3</w:t>
      </w:r>
      <w:bookmarkEnd w:id="40"/>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项目联系方式</w:t>
      </w:r>
    </w:p>
    <w:p w14:paraId="25FA319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倪先生</w:t>
      </w:r>
    </w:p>
    <w:p w14:paraId="0AD8ECD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电话：18</w:t>
      </w:r>
      <w:r>
        <w:rPr>
          <w:rFonts w:hint="eastAsia" w:ascii="宋体" w:hAnsi="宋体" w:eastAsia="宋体" w:cs="宋体"/>
          <w:color w:val="auto"/>
          <w:sz w:val="24"/>
          <w:szCs w:val="24"/>
          <w:highlight w:val="none"/>
          <w:lang w:val="en-US" w:eastAsia="zh-CN"/>
        </w:rPr>
        <w:t>452509777</w:t>
      </w:r>
    </w:p>
    <w:p w14:paraId="5FE24B66">
      <w:pPr>
        <w:pStyle w:val="3"/>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highlight w:val="none"/>
        </w:rPr>
      </w:pPr>
      <w:r>
        <w:rPr>
          <w:rFonts w:hint="eastAsia" w:ascii="宋体" w:hAnsi="宋体" w:eastAsia="宋体" w:cs="宋体"/>
          <w:b w:val="0"/>
          <w:bCs/>
          <w:color w:val="auto"/>
          <w:highlight w:val="none"/>
        </w:rPr>
        <w:br w:type="page" w:clear="all"/>
      </w:r>
      <w:bookmarkEnd w:id="2"/>
      <w:bookmarkEnd w:id="3"/>
      <w:bookmarkEnd w:id="4"/>
      <w:bookmarkEnd w:id="5"/>
      <w:bookmarkEnd w:id="6"/>
      <w:bookmarkEnd w:id="7"/>
      <w:bookmarkStart w:id="41" w:name="_Toc20823314"/>
      <w:bookmarkStart w:id="42" w:name="_Toc120614221"/>
      <w:bookmarkStart w:id="43" w:name="_Toc513029242"/>
      <w:bookmarkStart w:id="44" w:name="_Toc479757207"/>
      <w:bookmarkStart w:id="45" w:name="_Toc16938558"/>
      <w:r>
        <w:rPr>
          <w:rFonts w:hint="eastAsia" w:ascii="宋体" w:hAnsi="宋体" w:eastAsia="宋体" w:cs="宋体"/>
          <w:color w:val="auto"/>
          <w:sz w:val="36"/>
          <w:szCs w:val="36"/>
          <w:highlight w:val="none"/>
        </w:rPr>
        <w:t xml:space="preserve">第二章  </w:t>
      </w:r>
      <w:bookmarkStart w:id="46" w:name="_Toc20823274"/>
      <w:bookmarkStart w:id="47" w:name="_Toc513029202"/>
      <w:bookmarkStart w:id="48" w:name="_Toc120614213"/>
      <w:bookmarkStart w:id="49" w:name="_Toc16938518"/>
      <w:r>
        <w:rPr>
          <w:rFonts w:hint="eastAsia" w:ascii="宋体" w:hAnsi="宋体" w:eastAsia="宋体" w:cs="宋体"/>
          <w:color w:val="auto"/>
          <w:sz w:val="36"/>
          <w:szCs w:val="36"/>
          <w:highlight w:val="none"/>
        </w:rPr>
        <w:t>投标人须知</w:t>
      </w:r>
      <w:bookmarkEnd w:id="46"/>
      <w:bookmarkEnd w:id="47"/>
      <w:bookmarkEnd w:id="48"/>
      <w:bookmarkEnd w:id="49"/>
    </w:p>
    <w:p w14:paraId="6052681C">
      <w:pPr>
        <w:pStyle w:val="4"/>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50" w:name="_Toc120614214"/>
      <w:bookmarkStart w:id="51" w:name="_Toc16938519"/>
      <w:bookmarkStart w:id="52" w:name="_Toc20823275"/>
      <w:bookmarkStart w:id="53" w:name="_Toc513029203"/>
      <w:r>
        <w:rPr>
          <w:rFonts w:hint="eastAsia" w:ascii="宋体" w:hAnsi="宋体" w:eastAsia="宋体" w:cs="宋体"/>
          <w:color w:val="auto"/>
          <w:sz w:val="24"/>
          <w:szCs w:val="24"/>
          <w:highlight w:val="none"/>
        </w:rPr>
        <w:t>一、总则</w:t>
      </w:r>
      <w:bookmarkEnd w:id="50"/>
      <w:bookmarkEnd w:id="51"/>
      <w:bookmarkEnd w:id="52"/>
      <w:bookmarkEnd w:id="53"/>
    </w:p>
    <w:p w14:paraId="4579BA41">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54" w:name="_Hlt16619475"/>
      <w:bookmarkEnd w:id="54"/>
      <w:bookmarkStart w:id="55" w:name="_Toc458694821"/>
      <w:bookmarkStart w:id="56" w:name="_Toc16938520"/>
      <w:bookmarkStart w:id="57" w:name="_Toc513029204"/>
      <w:bookmarkStart w:id="58" w:name="_Toc20823276"/>
      <w:r>
        <w:rPr>
          <w:rFonts w:hint="eastAsia" w:ascii="宋体" w:hAnsi="宋体" w:eastAsia="宋体" w:cs="宋体"/>
          <w:color w:val="auto"/>
          <w:sz w:val="24"/>
          <w:szCs w:val="24"/>
          <w:highlight w:val="none"/>
        </w:rPr>
        <w:t>1</w:t>
      </w:r>
      <w:bookmarkEnd w:id="55"/>
      <w:r>
        <w:rPr>
          <w:rFonts w:hint="eastAsia" w:ascii="宋体" w:hAnsi="宋体" w:eastAsia="宋体" w:cs="宋体"/>
          <w:color w:val="auto"/>
          <w:sz w:val="24"/>
          <w:szCs w:val="24"/>
          <w:highlight w:val="none"/>
        </w:rPr>
        <w:t>、招标方式</w:t>
      </w:r>
      <w:bookmarkEnd w:id="56"/>
      <w:bookmarkEnd w:id="57"/>
      <w:bookmarkEnd w:id="58"/>
    </w:p>
    <w:p w14:paraId="03736497">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147E0FF8">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59" w:name="_Toc513029205"/>
      <w:bookmarkStart w:id="60" w:name="_Toc20823277"/>
      <w:bookmarkStart w:id="61" w:name="_Toc16938521"/>
      <w:r>
        <w:rPr>
          <w:rFonts w:hint="eastAsia" w:ascii="宋体" w:hAnsi="宋体" w:eastAsia="宋体" w:cs="宋体"/>
          <w:color w:val="auto"/>
          <w:sz w:val="24"/>
          <w:szCs w:val="24"/>
          <w:highlight w:val="none"/>
        </w:rPr>
        <w:t>2、合格的投标人</w:t>
      </w:r>
      <w:bookmarkEnd w:id="59"/>
      <w:bookmarkEnd w:id="60"/>
      <w:bookmarkEnd w:id="61"/>
    </w:p>
    <w:p w14:paraId="48F146C0">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14:paraId="7E2F8CD8">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满足本文件实质性要求和条件的规定。</w:t>
      </w:r>
    </w:p>
    <w:p w14:paraId="1D1B1F02">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62" w:name="_Toc16938522"/>
      <w:bookmarkStart w:id="63" w:name="_Toc20823278"/>
      <w:bookmarkStart w:id="64" w:name="_Toc513029206"/>
      <w:r>
        <w:rPr>
          <w:rFonts w:hint="eastAsia" w:ascii="宋体" w:hAnsi="宋体" w:eastAsia="宋体" w:cs="宋体"/>
          <w:color w:val="auto"/>
          <w:sz w:val="24"/>
          <w:szCs w:val="24"/>
          <w:highlight w:val="none"/>
        </w:rPr>
        <w:t>3、适用法律</w:t>
      </w:r>
      <w:bookmarkEnd w:id="62"/>
      <w:bookmarkEnd w:id="63"/>
      <w:bookmarkEnd w:id="64"/>
    </w:p>
    <w:p w14:paraId="3C29260D">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0690127B">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65" w:name="_Toc462564067"/>
      <w:bookmarkStart w:id="66" w:name="_Toc16938523"/>
      <w:bookmarkStart w:id="67" w:name="_Toc513029207"/>
      <w:bookmarkStart w:id="68" w:name="_Toc20823279"/>
      <w:r>
        <w:rPr>
          <w:rFonts w:hint="eastAsia" w:ascii="宋体" w:hAnsi="宋体" w:eastAsia="宋体" w:cs="宋体"/>
          <w:color w:val="auto"/>
          <w:sz w:val="24"/>
          <w:szCs w:val="24"/>
          <w:highlight w:val="none"/>
        </w:rPr>
        <w:t>4、投标费用</w:t>
      </w:r>
      <w:bookmarkEnd w:id="65"/>
      <w:bookmarkEnd w:id="66"/>
      <w:bookmarkEnd w:id="67"/>
      <w:bookmarkEnd w:id="68"/>
    </w:p>
    <w:p w14:paraId="4989F82E">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及</w:t>
      </w:r>
      <w:r>
        <w:rPr>
          <w:rFonts w:hint="eastAsia" w:ascii="宋体" w:hAnsi="宋体" w:eastAsia="宋体" w:cs="宋体"/>
          <w:bCs/>
          <w:color w:val="auto"/>
          <w:sz w:val="24"/>
          <w:szCs w:val="24"/>
          <w:highlight w:val="none"/>
          <w:lang w:val="en-US" w:eastAsia="zh-CN"/>
        </w:rPr>
        <w:t>江苏建安工程管理咨询有限公司</w:t>
      </w:r>
      <w:r>
        <w:rPr>
          <w:rFonts w:hint="eastAsia" w:ascii="宋体" w:hAnsi="宋体" w:eastAsia="宋体" w:cs="宋体"/>
          <w:bCs/>
          <w:color w:val="auto"/>
          <w:sz w:val="24"/>
          <w:szCs w:val="24"/>
          <w:highlight w:val="none"/>
        </w:rPr>
        <w:t>（以下简称代理机构）</w:t>
      </w:r>
      <w:r>
        <w:rPr>
          <w:rFonts w:hint="eastAsia" w:ascii="宋体" w:hAnsi="宋体" w:eastAsia="宋体" w:cs="宋体"/>
          <w:color w:val="auto"/>
          <w:sz w:val="24"/>
          <w:szCs w:val="24"/>
          <w:highlight w:val="none"/>
        </w:rPr>
        <w:t>在任何情况下均无义务和责任承担这些费用。</w:t>
      </w:r>
    </w:p>
    <w:p w14:paraId="4E03C660">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4.2</w:t>
      </w:r>
      <w:r>
        <w:rPr>
          <w:rFonts w:hint="eastAsia" w:ascii="宋体" w:hAnsi="宋体" w:eastAsia="宋体" w:cs="宋体"/>
          <w:bCs/>
          <w:color w:val="auto"/>
          <w:sz w:val="24"/>
          <w:szCs w:val="24"/>
          <w:highlight w:val="none"/>
        </w:rPr>
        <w:t>招标代理服务费:</w:t>
      </w:r>
      <w:r>
        <w:rPr>
          <w:rFonts w:hint="eastAsia" w:ascii="宋体" w:hAnsi="宋体" w:eastAsia="宋体" w:cs="宋体"/>
          <w:bCs/>
          <w:color w:val="auto"/>
          <w:sz w:val="24"/>
          <w:highlight w:val="none"/>
        </w:rPr>
        <w:t>根据代理合同约定的收费标准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江苏省招标代理服务收费的指导意见</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苏招协【2022】002号</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的</w:t>
      </w:r>
      <w:r>
        <w:rPr>
          <w:rFonts w:hint="eastAsia" w:ascii="宋体" w:hAnsi="宋体" w:eastAsia="宋体" w:cs="宋体"/>
          <w:bCs/>
          <w:color w:val="auto"/>
          <w:sz w:val="24"/>
          <w:highlight w:val="none"/>
          <w:lang w:val="en-US" w:eastAsia="zh-CN"/>
        </w:rPr>
        <w:t>40</w:t>
      </w:r>
      <w:r>
        <w:rPr>
          <w:rFonts w:hint="eastAsia" w:ascii="宋体" w:hAnsi="宋体" w:eastAsia="宋体" w:cs="宋体"/>
          <w:bCs/>
          <w:color w:val="auto"/>
          <w:sz w:val="24"/>
          <w:highlight w:val="none"/>
        </w:rPr>
        <w:t>%收取代理服务费，即</w:t>
      </w:r>
      <w:r>
        <w:rPr>
          <w:rFonts w:hint="eastAsia" w:ascii="宋体" w:hAnsi="宋体" w:cs="宋体"/>
          <w:bCs/>
          <w:color w:val="auto"/>
          <w:sz w:val="24"/>
          <w:highlight w:val="none"/>
          <w:lang w:val="en-US" w:eastAsia="zh-CN"/>
        </w:rPr>
        <w:t>中标价在</w:t>
      </w:r>
      <w:r>
        <w:rPr>
          <w:rFonts w:hint="eastAsia" w:ascii="宋体" w:hAnsi="宋体" w:eastAsia="宋体" w:cs="宋体"/>
          <w:bCs/>
          <w:color w:val="auto"/>
          <w:sz w:val="24"/>
          <w:highlight w:val="none"/>
        </w:rPr>
        <w:t>50万元以内</w:t>
      </w:r>
      <w:r>
        <w:rPr>
          <w:rFonts w:hint="eastAsia" w:ascii="宋体" w:hAnsi="宋体" w:cs="宋体"/>
          <w:bCs/>
          <w:color w:val="auto"/>
          <w:sz w:val="24"/>
          <w:highlight w:val="none"/>
          <w:lang w:val="en-US" w:eastAsia="zh-CN"/>
        </w:rPr>
        <w:t>的项目</w:t>
      </w:r>
      <w:r>
        <w:rPr>
          <w:rFonts w:hint="eastAsia" w:ascii="宋体" w:hAnsi="宋体" w:eastAsia="宋体" w:cs="宋体"/>
          <w:bCs/>
          <w:color w:val="auto"/>
          <w:sz w:val="24"/>
          <w:highlight w:val="none"/>
        </w:rPr>
        <w:t>按1万元</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40</w:t>
      </w:r>
      <w:r>
        <w:rPr>
          <w:rFonts w:hint="eastAsia" w:ascii="宋体" w:hAnsi="宋体" w:eastAsia="宋体" w:cs="宋体"/>
          <w:bCs/>
          <w:color w:val="auto"/>
          <w:sz w:val="24"/>
          <w:highlight w:val="none"/>
        </w:rPr>
        <w:t>%计取，</w:t>
      </w:r>
      <w:r>
        <w:rPr>
          <w:rFonts w:hint="eastAsia" w:ascii="宋体" w:hAnsi="宋体" w:cs="宋体"/>
          <w:bCs/>
          <w:color w:val="auto"/>
          <w:sz w:val="24"/>
          <w:highlight w:val="none"/>
          <w:lang w:val="en-US" w:eastAsia="zh-CN"/>
        </w:rPr>
        <w:t>中标价在</w:t>
      </w:r>
      <w:r>
        <w:rPr>
          <w:rFonts w:hint="eastAsia" w:ascii="宋体" w:hAnsi="宋体" w:eastAsia="宋体" w:cs="宋体"/>
          <w:bCs/>
          <w:color w:val="auto"/>
          <w:sz w:val="24"/>
          <w:highlight w:val="none"/>
        </w:rPr>
        <w:t>50-400万元</w:t>
      </w:r>
      <w:r>
        <w:rPr>
          <w:rFonts w:hint="eastAsia" w:ascii="宋体" w:hAnsi="宋体" w:cs="宋体"/>
          <w:bCs/>
          <w:color w:val="auto"/>
          <w:sz w:val="24"/>
          <w:highlight w:val="none"/>
          <w:lang w:val="en-US" w:eastAsia="zh-CN"/>
        </w:rPr>
        <w:t>的项目</w:t>
      </w:r>
      <w:r>
        <w:rPr>
          <w:rFonts w:hint="eastAsia" w:ascii="宋体" w:hAnsi="宋体" w:eastAsia="宋体" w:cs="宋体"/>
          <w:bCs/>
          <w:color w:val="auto"/>
          <w:sz w:val="24"/>
          <w:highlight w:val="none"/>
        </w:rPr>
        <w:t>按</w:t>
      </w:r>
      <w:r>
        <w:rPr>
          <w:rFonts w:hint="eastAsia" w:ascii="宋体" w:hAnsi="宋体" w:cs="宋体"/>
          <w:bCs/>
          <w:color w:val="auto"/>
          <w:sz w:val="24"/>
          <w:highlight w:val="none"/>
          <w:lang w:val="en-US" w:eastAsia="zh-CN"/>
        </w:rPr>
        <w:t>中标价*</w:t>
      </w:r>
      <w:r>
        <w:rPr>
          <w:rFonts w:hint="eastAsia" w:ascii="宋体" w:hAnsi="宋体" w:eastAsia="宋体" w:cs="宋体"/>
          <w:bCs/>
          <w:color w:val="auto"/>
          <w:sz w:val="24"/>
          <w:highlight w:val="none"/>
        </w:rPr>
        <w:t>1.5%</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40</w:t>
      </w:r>
      <w:r>
        <w:rPr>
          <w:rFonts w:hint="eastAsia" w:ascii="宋体" w:hAnsi="宋体" w:eastAsia="宋体" w:cs="宋体"/>
          <w:bCs/>
          <w:color w:val="auto"/>
          <w:sz w:val="24"/>
          <w:highlight w:val="none"/>
        </w:rPr>
        <w:t>%计取，</w:t>
      </w:r>
      <w:r>
        <w:rPr>
          <w:rFonts w:hint="eastAsia" w:ascii="宋体" w:hAnsi="宋体" w:eastAsia="宋体" w:cs="宋体"/>
          <w:bCs/>
          <w:color w:val="auto"/>
          <w:sz w:val="24"/>
          <w:highlight w:val="none"/>
          <w:lang w:val="en-US" w:eastAsia="zh-CN"/>
        </w:rPr>
        <w:t>由采购人支付</w:t>
      </w:r>
      <w:r>
        <w:rPr>
          <w:rFonts w:hint="eastAsia" w:ascii="宋体" w:hAnsi="宋体" w:eastAsia="宋体" w:cs="宋体"/>
          <w:bCs/>
          <w:color w:val="auto"/>
          <w:sz w:val="24"/>
          <w:szCs w:val="24"/>
          <w:highlight w:val="none"/>
          <w:lang w:val="en-US" w:eastAsia="zh-CN"/>
        </w:rPr>
        <w:t>。</w:t>
      </w:r>
    </w:p>
    <w:p w14:paraId="1E965AA7">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5、招标文件的约束力</w:t>
      </w:r>
    </w:p>
    <w:p w14:paraId="5C749D71">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投标人一旦参加本项目采购活动，即被认为接受了本招标文件的规定和约束。</w:t>
      </w:r>
    </w:p>
    <w:p w14:paraId="225096FF">
      <w:pPr>
        <w:pStyle w:val="4"/>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69" w:name="_Toc513029209"/>
      <w:bookmarkStart w:id="70" w:name="_Toc120614215"/>
      <w:bookmarkStart w:id="71" w:name="_Toc16938525"/>
      <w:bookmarkStart w:id="72" w:name="_Toc20823281"/>
      <w:r>
        <w:rPr>
          <w:rFonts w:hint="eastAsia" w:ascii="宋体" w:hAnsi="宋体" w:eastAsia="宋体" w:cs="宋体"/>
          <w:color w:val="auto"/>
          <w:sz w:val="24"/>
          <w:szCs w:val="24"/>
          <w:highlight w:val="none"/>
        </w:rPr>
        <w:t>二、招标文件</w:t>
      </w:r>
      <w:bookmarkEnd w:id="69"/>
      <w:bookmarkEnd w:id="70"/>
      <w:bookmarkEnd w:id="71"/>
      <w:bookmarkEnd w:id="72"/>
    </w:p>
    <w:p w14:paraId="4BE38DD2">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b w:val="0"/>
          <w:bCs w:val="0"/>
          <w:color w:val="auto"/>
          <w:sz w:val="24"/>
          <w:szCs w:val="24"/>
          <w:highlight w:val="none"/>
        </w:rPr>
      </w:pPr>
      <w:bookmarkStart w:id="73" w:name="_Toc513029210"/>
      <w:bookmarkStart w:id="74" w:name="_Toc16938526"/>
      <w:bookmarkStart w:id="75" w:name="_Toc20823282"/>
      <w:r>
        <w:rPr>
          <w:rFonts w:hint="eastAsia" w:ascii="宋体" w:hAnsi="宋体" w:eastAsia="宋体" w:cs="宋体"/>
          <w:color w:val="auto"/>
          <w:sz w:val="24"/>
          <w:szCs w:val="24"/>
          <w:highlight w:val="none"/>
        </w:rPr>
        <w:t>6、招标文件构成</w:t>
      </w:r>
      <w:bookmarkEnd w:id="73"/>
      <w:bookmarkEnd w:id="74"/>
      <w:bookmarkEnd w:id="75"/>
    </w:p>
    <w:p w14:paraId="75870A76">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 xml:space="preserve"> 招标文件有以下部分组成：</w:t>
      </w:r>
    </w:p>
    <w:p w14:paraId="6EC0C770">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（1）招标公告</w:t>
      </w:r>
    </w:p>
    <w:p w14:paraId="6D3B86F7">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2D5D55D6">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7C27AC3B">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61AE17E6">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5B437162">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11F7B69C">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请仔细检查招标文件是否齐全，如有缺漏请立即与采购代理机构联系解决。</w:t>
      </w:r>
    </w:p>
    <w:p w14:paraId="19102116">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61FFAC9">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76" w:name="_Toc462564070"/>
      <w:bookmarkStart w:id="77" w:name="_Toc20823283"/>
      <w:bookmarkStart w:id="78" w:name="_Toc513029211"/>
      <w:bookmarkStart w:id="79" w:name="_Toc16938527"/>
      <w:r>
        <w:rPr>
          <w:rFonts w:hint="eastAsia" w:ascii="宋体" w:hAnsi="宋体" w:eastAsia="宋体" w:cs="宋体"/>
          <w:color w:val="auto"/>
          <w:sz w:val="24"/>
          <w:szCs w:val="24"/>
          <w:highlight w:val="none"/>
        </w:rPr>
        <w:t>7、</w:t>
      </w:r>
      <w:bookmarkEnd w:id="76"/>
      <w:bookmarkEnd w:id="77"/>
      <w:bookmarkEnd w:id="78"/>
      <w:bookmarkEnd w:id="79"/>
      <w:r>
        <w:rPr>
          <w:rFonts w:hint="eastAsia" w:ascii="宋体" w:hAnsi="宋体" w:eastAsia="宋体" w:cs="宋体"/>
          <w:color w:val="auto"/>
          <w:sz w:val="24"/>
          <w:szCs w:val="24"/>
          <w:highlight w:val="none"/>
        </w:rPr>
        <w:t>招标文件的澄清</w:t>
      </w:r>
    </w:p>
    <w:p w14:paraId="4CED819C">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7.1</w:t>
      </w:r>
      <w:r>
        <w:rPr>
          <w:rFonts w:hint="eastAsia" w:ascii="宋体" w:hAnsi="宋体" w:eastAsia="宋体" w:cs="宋体"/>
          <w:color w:val="auto"/>
          <w:sz w:val="24"/>
          <w:szCs w:val="24"/>
          <w:highlight w:val="none"/>
        </w:rPr>
        <w:t>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前按招标公告中的通讯地址，以书面形式通知采购人或采购代理机构。</w:t>
      </w:r>
    </w:p>
    <w:p w14:paraId="2D017037">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80" w:name="_Toc16938528"/>
      <w:bookmarkStart w:id="81" w:name="_Toc20823284"/>
      <w:bookmarkStart w:id="82" w:name="_Toc513029212"/>
      <w:bookmarkStart w:id="83" w:name="_Toc462564071"/>
      <w:r>
        <w:rPr>
          <w:rFonts w:hint="eastAsia" w:ascii="宋体" w:hAnsi="宋体" w:eastAsia="宋体" w:cs="宋体"/>
          <w:color w:val="auto"/>
          <w:sz w:val="24"/>
          <w:szCs w:val="24"/>
          <w:highlight w:val="none"/>
        </w:rPr>
        <w:t>8、招标文件的修改</w:t>
      </w:r>
      <w:bookmarkEnd w:id="80"/>
      <w:bookmarkEnd w:id="81"/>
      <w:bookmarkEnd w:id="82"/>
      <w:bookmarkEnd w:id="83"/>
    </w:p>
    <w:p w14:paraId="3F7243D2">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szCs w:val="24"/>
          <w:highlight w:val="none"/>
        </w:rPr>
        <w:t xml:space="preserve"> 在投标截止时间前，采购人或采购代理机构可以对招标文件进行修改。</w:t>
      </w:r>
    </w:p>
    <w:p w14:paraId="244102C6">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8.2</w:t>
      </w:r>
      <w:r>
        <w:rPr>
          <w:rFonts w:hint="eastAsia" w:ascii="宋体" w:hAnsi="宋体" w:eastAsia="宋体" w:cs="宋体"/>
          <w:color w:val="auto"/>
          <w:sz w:val="24"/>
          <w:szCs w:val="24"/>
          <w:highlight w:val="none"/>
        </w:rPr>
        <w:t>采购人或采购代理机构有权按照法定的要求推迟投标截止日期和开标日期。</w:t>
      </w:r>
    </w:p>
    <w:p w14:paraId="2CAE3A30">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8.3</w:t>
      </w:r>
      <w:r>
        <w:rPr>
          <w:rFonts w:hint="eastAsia" w:ascii="宋体" w:hAnsi="宋体" w:eastAsia="宋体" w:cs="宋体"/>
          <w:color w:val="auto"/>
          <w:sz w:val="24"/>
          <w:szCs w:val="24"/>
          <w:highlight w:val="none"/>
        </w:rPr>
        <w:t>招标文件的修改将在中国政府采购网、江苏政府采购网、盐城市政府采购网公布，补充文件将作为招标文件的组成部分，并对投标人具有约束力。</w:t>
      </w:r>
    </w:p>
    <w:p w14:paraId="7049B249">
      <w:pPr>
        <w:pStyle w:val="4"/>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84" w:name="_Toc120614216"/>
      <w:bookmarkStart w:id="85" w:name="_Toc16938529"/>
      <w:bookmarkStart w:id="86" w:name="_Toc462564072"/>
      <w:bookmarkStart w:id="87" w:name="_Toc513029213"/>
      <w:bookmarkStart w:id="88" w:name="_Toc20823285"/>
      <w:r>
        <w:rPr>
          <w:rFonts w:hint="eastAsia" w:ascii="宋体" w:hAnsi="宋体" w:eastAsia="宋体" w:cs="宋体"/>
          <w:color w:val="auto"/>
          <w:sz w:val="24"/>
          <w:szCs w:val="24"/>
          <w:highlight w:val="none"/>
        </w:rPr>
        <w:t>三、投标文件的编制</w:t>
      </w:r>
      <w:bookmarkEnd w:id="84"/>
      <w:bookmarkEnd w:id="85"/>
      <w:bookmarkEnd w:id="86"/>
      <w:bookmarkEnd w:id="87"/>
      <w:bookmarkEnd w:id="88"/>
    </w:p>
    <w:p w14:paraId="6987B255">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89" w:name="_Toc513029214"/>
      <w:bookmarkStart w:id="90" w:name="_Toc20823286"/>
      <w:bookmarkStart w:id="91" w:name="_Toc462564073"/>
      <w:bookmarkStart w:id="92" w:name="_Toc16938530"/>
      <w:r>
        <w:rPr>
          <w:rFonts w:hint="eastAsia" w:ascii="宋体" w:hAnsi="宋体" w:eastAsia="宋体" w:cs="宋体"/>
          <w:color w:val="auto"/>
          <w:sz w:val="24"/>
          <w:szCs w:val="24"/>
          <w:highlight w:val="none"/>
        </w:rPr>
        <w:t>9、投标文件的语言及度量衡单位</w:t>
      </w:r>
      <w:bookmarkEnd w:id="89"/>
      <w:bookmarkEnd w:id="90"/>
      <w:bookmarkEnd w:id="91"/>
      <w:bookmarkEnd w:id="92"/>
    </w:p>
    <w:p w14:paraId="25AB85A9">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 xml:space="preserve"> 投标人提交的投标文件以及投标人与采购人、采购代理机构就有关投标的所有来往通知、函件和文件均应使用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4BB213B8">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p>
    <w:p w14:paraId="084505EC">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93" w:name="_Toc462564074"/>
      <w:bookmarkStart w:id="94" w:name="_Toc16938531"/>
      <w:bookmarkStart w:id="95" w:name="_Toc513029215"/>
      <w:bookmarkStart w:id="96" w:name="_Toc20823287"/>
      <w:r>
        <w:rPr>
          <w:rFonts w:hint="eastAsia" w:ascii="宋体" w:hAnsi="宋体" w:eastAsia="宋体" w:cs="宋体"/>
          <w:color w:val="auto"/>
          <w:sz w:val="24"/>
          <w:szCs w:val="24"/>
          <w:highlight w:val="none"/>
        </w:rPr>
        <w:t>10、投标文件构成</w:t>
      </w:r>
      <w:bookmarkEnd w:id="93"/>
      <w:bookmarkEnd w:id="94"/>
      <w:bookmarkEnd w:id="95"/>
      <w:bookmarkEnd w:id="96"/>
    </w:p>
    <w:p w14:paraId="38471141">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10.1</w:t>
      </w:r>
      <w:r>
        <w:rPr>
          <w:rFonts w:hint="eastAsia" w:ascii="宋体" w:hAnsi="宋体" w:eastAsia="宋体" w:cs="宋体"/>
          <w:color w:val="auto"/>
          <w:sz w:val="24"/>
          <w:szCs w:val="24"/>
          <w:highlight w:val="none"/>
        </w:rPr>
        <w:t>投标人编写的投标文件应包括资格证明文件、符合性证明文件、投标分项报价表、技术要求响应及偏离表、商务要求响应及偏离表、其他证明文件、投标函、开标一览表等部分。</w:t>
      </w:r>
    </w:p>
    <w:p w14:paraId="59257B53">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5A9BCE12">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97" w:name="_Hlt26670360"/>
      <w:bookmarkEnd w:id="97"/>
      <w:bookmarkStart w:id="98" w:name="_Hlt26954838"/>
      <w:bookmarkEnd w:id="98"/>
      <w:bookmarkStart w:id="99" w:name="_Hlt26668975"/>
      <w:bookmarkEnd w:id="99"/>
      <w:bookmarkStart w:id="100" w:name="_Toc513029219"/>
      <w:bookmarkStart w:id="101" w:name="_Toc49090509"/>
      <w:bookmarkStart w:id="102" w:name="_Toc14577357"/>
      <w:bookmarkStart w:id="103" w:name="_Toc513029216"/>
      <w:bookmarkStart w:id="104" w:name="_Toc14577354"/>
      <w:bookmarkStart w:id="105" w:name="_Toc49090507"/>
      <w:r>
        <w:rPr>
          <w:rFonts w:hint="eastAsia" w:ascii="宋体" w:hAnsi="宋体" w:eastAsia="宋体" w:cs="宋体"/>
          <w:color w:val="auto"/>
          <w:sz w:val="24"/>
          <w:szCs w:val="24"/>
          <w:highlight w:val="none"/>
        </w:rPr>
        <w:t>11、</w:t>
      </w:r>
      <w:bookmarkEnd w:id="100"/>
      <w:bookmarkEnd w:id="101"/>
      <w:bookmarkEnd w:id="102"/>
      <w:r>
        <w:rPr>
          <w:rFonts w:hint="eastAsia" w:ascii="宋体" w:hAnsi="宋体" w:eastAsia="宋体" w:cs="宋体"/>
          <w:color w:val="auto"/>
          <w:sz w:val="24"/>
          <w:szCs w:val="24"/>
          <w:highlight w:val="none"/>
        </w:rPr>
        <w:t>证明投标人及投标标的符合招标文件规定的文件</w:t>
      </w:r>
    </w:p>
    <w:p w14:paraId="5643FC85">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11.1投标人应按照法律、法规、规章和规范性文件以及招标文件要求提交证明文件，证明其及投标标的符合招标文件规定。</w:t>
      </w:r>
    </w:p>
    <w:p w14:paraId="037F2E59">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bookmarkEnd w:id="103"/>
      <w:bookmarkEnd w:id="104"/>
      <w:bookmarkEnd w:id="105"/>
    </w:p>
    <w:p w14:paraId="792698F8">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106" w:name="_Toc49090508"/>
      <w:bookmarkStart w:id="107" w:name="_Toc14577355"/>
      <w:r>
        <w:rPr>
          <w:rFonts w:hint="eastAsia" w:ascii="宋体" w:hAnsi="宋体" w:eastAsia="宋体" w:cs="宋体"/>
          <w:color w:val="auto"/>
          <w:sz w:val="24"/>
          <w:szCs w:val="24"/>
          <w:highlight w:val="none"/>
        </w:rPr>
        <w:t>12、</w:t>
      </w:r>
      <w:bookmarkEnd w:id="106"/>
      <w:bookmarkEnd w:id="107"/>
      <w:r>
        <w:rPr>
          <w:rFonts w:hint="eastAsia" w:ascii="宋体" w:hAnsi="宋体" w:eastAsia="宋体" w:cs="宋体"/>
          <w:color w:val="auto"/>
          <w:sz w:val="24"/>
          <w:szCs w:val="24"/>
          <w:highlight w:val="none"/>
        </w:rPr>
        <w:t>投标分项报价表</w:t>
      </w:r>
    </w:p>
    <w:p w14:paraId="3ADDBE53">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12.1投标人应按照招标文件规定格式填报投标分项报价表。</w:t>
      </w:r>
    </w:p>
    <w:p w14:paraId="4F177299">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12.2投标货币。投标文件中的单价和总价无特殊规定的采用人民币报价，以元为单位标注。招标文件中另有规定的按规定执行。</w:t>
      </w:r>
    </w:p>
    <w:p w14:paraId="048CA67A">
      <w:pPr>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color w:val="auto"/>
          <w:sz w:val="24"/>
          <w:szCs w:val="24"/>
          <w:highlight w:val="none"/>
        </w:rPr>
      </w:pPr>
      <w:bookmarkStart w:id="108" w:name="_Hlt26670486"/>
      <w:bookmarkEnd w:id="108"/>
      <w:bookmarkStart w:id="109" w:name="_Hlt26954731"/>
      <w:bookmarkEnd w:id="109"/>
      <w:bookmarkStart w:id="110" w:name="_Hlt26670482"/>
      <w:bookmarkEnd w:id="110"/>
      <w:bookmarkStart w:id="111" w:name="_Hlt26954846"/>
      <w:bookmarkEnd w:id="111"/>
      <w:bookmarkStart w:id="112" w:name="_Hlt26954848"/>
      <w:bookmarkEnd w:id="112"/>
      <w:r>
        <w:rPr>
          <w:rFonts w:hint="eastAsia" w:ascii="宋体" w:hAnsi="宋体" w:eastAsia="宋体" w:cs="宋体"/>
          <w:b/>
          <w:color w:val="auto"/>
          <w:sz w:val="24"/>
          <w:szCs w:val="24"/>
          <w:highlight w:val="none"/>
        </w:rPr>
        <w:t>13、技术要求响应及偏离表、商务要求响应及偏离表</w:t>
      </w:r>
    </w:p>
    <w:p w14:paraId="3E95091E">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13.1投标人需对招标文件中的技术要求与商务要求逐项作出响应或偏离，并说明原因。</w:t>
      </w:r>
    </w:p>
    <w:p w14:paraId="3B1C5E49">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13.2投标人可在投标文件中提供认为需要的其他技术文件或说明。</w:t>
      </w:r>
    </w:p>
    <w:p w14:paraId="2B531AE7">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113" w:name="_Toc14577359"/>
      <w:bookmarkStart w:id="114" w:name="_Toc49090510"/>
      <w:r>
        <w:rPr>
          <w:rFonts w:hint="eastAsia" w:ascii="宋体" w:hAnsi="宋体" w:eastAsia="宋体" w:cs="宋体"/>
          <w:color w:val="auto"/>
          <w:sz w:val="24"/>
          <w:szCs w:val="24"/>
          <w:highlight w:val="none"/>
        </w:rPr>
        <w:t>14、投标函和开标一览表</w:t>
      </w:r>
      <w:bookmarkEnd w:id="113"/>
      <w:bookmarkEnd w:id="114"/>
    </w:p>
    <w:p w14:paraId="54DCC175">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bookmarkStart w:id="115" w:name="_Hlt26670489"/>
      <w:bookmarkEnd w:id="115"/>
      <w:bookmarkStart w:id="116" w:name="_Hlt26954850"/>
      <w:bookmarkEnd w:id="116"/>
      <w:bookmarkStart w:id="117" w:name="_Hlt26954734"/>
      <w:bookmarkEnd w:id="117"/>
      <w:bookmarkStart w:id="118" w:name="_Toc49090511"/>
      <w:bookmarkStart w:id="119" w:name="_Toc14577360"/>
      <w:r>
        <w:rPr>
          <w:rFonts w:hint="eastAsia" w:ascii="宋体" w:hAnsi="宋体" w:eastAsia="宋体" w:cs="宋体"/>
          <w:bCs/>
          <w:color w:val="auto"/>
          <w:sz w:val="24"/>
          <w:szCs w:val="24"/>
          <w:highlight w:val="none"/>
        </w:rPr>
        <w:t>14.1投标人应按照招标文件中提供的格式完整、正确填写投标函、开标一览表。</w:t>
      </w:r>
    </w:p>
    <w:p w14:paraId="270CC467">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14.2对于采用货币报价的项目，开标一览表中的投标总报价应与投标分项报价表中的投标总报价一致，如不一致，不作为无效投标处理，但评标时按开标一览表中价格为准。</w:t>
      </w:r>
    </w:p>
    <w:p w14:paraId="36F166C6">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15、投标有效期</w:t>
      </w:r>
      <w:bookmarkEnd w:id="118"/>
      <w:bookmarkEnd w:id="119"/>
    </w:p>
    <w:p w14:paraId="1A54B820">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15.1</w:t>
      </w:r>
      <w:r>
        <w:rPr>
          <w:rFonts w:hint="eastAsia" w:ascii="宋体" w:hAnsi="宋体" w:eastAsia="宋体" w:cs="宋体"/>
          <w:bCs/>
          <w:color w:val="auto"/>
          <w:sz w:val="24"/>
          <w:szCs w:val="24"/>
          <w:highlight w:val="none"/>
        </w:rPr>
        <w:t xml:space="preserve"> 投标有效期为本项目开标之日后</w:t>
      </w:r>
      <w:r>
        <w:rPr>
          <w:rFonts w:hint="eastAsia" w:ascii="宋体" w:hAnsi="宋体" w:eastAsia="宋体" w:cs="宋体"/>
          <w:b/>
          <w:color w:val="auto"/>
          <w:sz w:val="24"/>
          <w:szCs w:val="24"/>
          <w:highlight w:val="none"/>
          <w:u w:val="single"/>
        </w:rPr>
        <w:t>九十（90）天</w:t>
      </w:r>
      <w:r>
        <w:rPr>
          <w:rFonts w:hint="eastAsia" w:ascii="宋体" w:hAnsi="宋体" w:eastAsia="宋体" w:cs="宋体"/>
          <w:bCs/>
          <w:color w:val="auto"/>
          <w:sz w:val="24"/>
          <w:szCs w:val="24"/>
          <w:highlight w:val="none"/>
        </w:rPr>
        <w:t>。投标有效期比规定短的将被视为</w:t>
      </w:r>
      <w:r>
        <w:rPr>
          <w:rFonts w:hint="eastAsia" w:ascii="宋体" w:hAnsi="宋体" w:eastAsia="宋体" w:cs="宋体"/>
          <w:color w:val="auto"/>
          <w:sz w:val="24"/>
          <w:szCs w:val="24"/>
          <w:highlight w:val="none"/>
        </w:rPr>
        <w:t>未实质性响应招标文件而予以拒绝</w:t>
      </w:r>
      <w:r>
        <w:rPr>
          <w:rFonts w:hint="eastAsia" w:ascii="宋体" w:hAnsi="宋体" w:eastAsia="宋体" w:cs="宋体"/>
          <w:bCs/>
          <w:color w:val="auto"/>
          <w:sz w:val="24"/>
          <w:szCs w:val="24"/>
          <w:highlight w:val="none"/>
        </w:rPr>
        <w:t>。</w:t>
      </w:r>
    </w:p>
    <w:p w14:paraId="4E43F19F">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16、投标有效期的延长</w:t>
      </w:r>
    </w:p>
    <w:p w14:paraId="22BBA2FB">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5819E9C4">
      <w:pPr>
        <w:pStyle w:val="4"/>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120" w:name="_Hlt26954852"/>
      <w:bookmarkEnd w:id="120"/>
      <w:bookmarkStart w:id="121" w:name="_Hlt26954739"/>
      <w:bookmarkEnd w:id="121"/>
      <w:bookmarkStart w:id="122" w:name="_Toc120614217"/>
      <w:bookmarkStart w:id="123" w:name="_Toc20823296"/>
      <w:bookmarkStart w:id="124" w:name="_Toc16938540"/>
      <w:bookmarkStart w:id="125" w:name="_Toc513029224"/>
      <w:r>
        <w:rPr>
          <w:rFonts w:hint="eastAsia" w:ascii="宋体" w:hAnsi="宋体" w:eastAsia="宋体" w:cs="宋体"/>
          <w:color w:val="auto"/>
          <w:sz w:val="24"/>
          <w:szCs w:val="24"/>
          <w:highlight w:val="none"/>
        </w:rPr>
        <w:t>四、投标文件的递交</w:t>
      </w:r>
      <w:bookmarkEnd w:id="122"/>
      <w:bookmarkEnd w:id="123"/>
      <w:bookmarkEnd w:id="124"/>
      <w:bookmarkEnd w:id="125"/>
    </w:p>
    <w:p w14:paraId="2E9D2C71">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126" w:name="_Toc20823298"/>
      <w:bookmarkStart w:id="127" w:name="_Toc16938542"/>
      <w:bookmarkStart w:id="128" w:name="_Toc513029226"/>
      <w:r>
        <w:rPr>
          <w:rFonts w:hint="eastAsia" w:ascii="宋体" w:hAnsi="宋体" w:eastAsia="宋体" w:cs="宋体"/>
          <w:color w:val="auto"/>
          <w:sz w:val="24"/>
          <w:szCs w:val="24"/>
          <w:highlight w:val="none"/>
        </w:rPr>
        <w:t>17、投标文件的递交</w:t>
      </w:r>
    </w:p>
    <w:p w14:paraId="1865BB30">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17.1 电子投标文件的递交</w:t>
      </w:r>
    </w:p>
    <w:p w14:paraId="12E07C4F">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投标人应当按照《操作手册》规定，在投标截止时间前制作并上传电子投标文件。</w:t>
      </w:r>
    </w:p>
    <w:p w14:paraId="0A5C9DAB">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18、投标截止日期</w:t>
      </w:r>
      <w:bookmarkEnd w:id="126"/>
      <w:bookmarkEnd w:id="127"/>
      <w:bookmarkEnd w:id="128"/>
    </w:p>
    <w:p w14:paraId="20802992">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18.1投标人上传电子投标文件的时间不得迟于招标公告中规定的投标截止时间。</w:t>
      </w:r>
    </w:p>
    <w:p w14:paraId="14DC7D7B">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投标人应充分考虑到网络环境、网络带宽等风险因素，如因投标人自身原因造成的电子投标文件上传不成功的按照本招标文件第二章第26.1.2条规定做无效投标处理。</w:t>
      </w:r>
    </w:p>
    <w:p w14:paraId="6D73AB78">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18.2采购人或采购代理机构</w:t>
      </w:r>
      <w:r>
        <w:rPr>
          <w:rFonts w:hint="eastAsia" w:ascii="宋体" w:hAnsi="宋体" w:eastAsia="宋体" w:cs="宋体"/>
          <w:color w:val="auto"/>
          <w:sz w:val="24"/>
          <w:szCs w:val="24"/>
          <w:highlight w:val="none"/>
        </w:rPr>
        <w:t>可以按照规定，通过修改招标文件酌情延长投标截止时间，在此情况下，投标人的所有权利和义务以及投标人受制的截止时间均应以延长后新的截止时间为准。</w:t>
      </w:r>
    </w:p>
    <w:p w14:paraId="2C0634D4">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129" w:name="_Toc20823299"/>
      <w:bookmarkStart w:id="130" w:name="_Toc513029227"/>
      <w:bookmarkStart w:id="131" w:name="_Toc16938543"/>
      <w:r>
        <w:rPr>
          <w:rFonts w:hint="eastAsia" w:ascii="宋体" w:hAnsi="宋体" w:eastAsia="宋体" w:cs="宋体"/>
          <w:color w:val="auto"/>
          <w:sz w:val="24"/>
          <w:szCs w:val="24"/>
          <w:highlight w:val="none"/>
        </w:rPr>
        <w:t>19、</w:t>
      </w:r>
      <w:bookmarkEnd w:id="129"/>
      <w:bookmarkEnd w:id="130"/>
      <w:bookmarkEnd w:id="131"/>
      <w:r>
        <w:rPr>
          <w:rFonts w:hint="eastAsia" w:ascii="宋体" w:hAnsi="宋体" w:eastAsia="宋体" w:cs="宋体"/>
          <w:color w:val="auto"/>
          <w:sz w:val="24"/>
          <w:szCs w:val="24"/>
          <w:highlight w:val="none"/>
        </w:rPr>
        <w:t>投标文件的拒收</w:t>
      </w:r>
    </w:p>
    <w:p w14:paraId="3D462B11">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19.1</w:t>
      </w:r>
      <w:r>
        <w:rPr>
          <w:rFonts w:hint="eastAsia" w:ascii="宋体" w:hAnsi="宋体" w:eastAsia="宋体" w:cs="宋体"/>
          <w:bCs/>
          <w:color w:val="auto"/>
          <w:sz w:val="24"/>
          <w:szCs w:val="24"/>
          <w:highlight w:val="none"/>
        </w:rPr>
        <w:t>采购人或采购代理机构拒绝接收在其规定的投标截止时间后发送的任何投标文件。</w:t>
      </w:r>
    </w:p>
    <w:p w14:paraId="0B2922E8">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bookmarkStart w:id="132" w:name="_Toc20823300"/>
      <w:bookmarkStart w:id="133" w:name="_Toc513029228"/>
      <w:bookmarkStart w:id="134" w:name="_Toc16938544"/>
      <w:r>
        <w:rPr>
          <w:rFonts w:hint="eastAsia" w:ascii="宋体" w:hAnsi="宋体" w:eastAsia="宋体" w:cs="宋体"/>
          <w:color w:val="auto"/>
          <w:sz w:val="24"/>
          <w:szCs w:val="24"/>
          <w:highlight w:val="none"/>
        </w:rPr>
        <w:t>20、投标文件的</w:t>
      </w:r>
      <w:bookmarkEnd w:id="132"/>
      <w:bookmarkEnd w:id="133"/>
      <w:bookmarkEnd w:id="134"/>
      <w:r>
        <w:rPr>
          <w:rFonts w:hint="eastAsia" w:ascii="宋体" w:hAnsi="宋体" w:eastAsia="宋体" w:cs="宋体"/>
          <w:color w:val="auto"/>
          <w:sz w:val="24"/>
          <w:szCs w:val="24"/>
          <w:highlight w:val="none"/>
        </w:rPr>
        <w:t>撤回和修改</w:t>
      </w:r>
    </w:p>
    <w:p w14:paraId="5BFA384F">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20.1投标文件的撤回</w:t>
      </w:r>
    </w:p>
    <w:p w14:paraId="2A8E9150">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20.1.1电子投标文件的撤回</w:t>
      </w:r>
    </w:p>
    <w:p w14:paraId="51B286EC">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1F0FBD6B">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20.1.2投标人撤回电子投标文件，则认为其不再参与本项目投标活动。</w:t>
      </w:r>
    </w:p>
    <w:p w14:paraId="5B3E2C9B">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投标文件的修改</w:t>
      </w:r>
    </w:p>
    <w:p w14:paraId="51319987">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20.2.1投标人可在投标截止时间前，对其电子投标文件进行修改，具体操作方法见《操作手册》。</w:t>
      </w:r>
    </w:p>
    <w:p w14:paraId="04F97F01">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20.2.2</w:t>
      </w:r>
      <w:r>
        <w:rPr>
          <w:rFonts w:hint="eastAsia" w:ascii="宋体" w:hAnsi="宋体" w:eastAsia="宋体" w:cs="宋体"/>
          <w:bCs/>
          <w:color w:val="auto"/>
          <w:sz w:val="24"/>
          <w:szCs w:val="24"/>
          <w:highlight w:val="none"/>
        </w:rPr>
        <w:t>在投标截止时间之后，投标人不得对其投标文件作任何修改。</w:t>
      </w:r>
    </w:p>
    <w:p w14:paraId="33B1BB29">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20.3</w:t>
      </w:r>
      <w:r>
        <w:rPr>
          <w:rFonts w:hint="eastAsia" w:ascii="宋体" w:hAnsi="宋体" w:eastAsia="宋体" w:cs="宋体"/>
          <w:bCs/>
          <w:color w:val="auto"/>
          <w:sz w:val="24"/>
          <w:szCs w:val="24"/>
          <w:highlight w:val="none"/>
        </w:rPr>
        <w:t>在投标截止时间至招标文件中规定的投标有效期满之间的这段时间内，投标人不得撤回其投标。</w:t>
      </w:r>
      <w:bookmarkStart w:id="135" w:name="_Toc20823301"/>
      <w:bookmarkStart w:id="136" w:name="_Toc120614218"/>
      <w:bookmarkStart w:id="137" w:name="_Toc513029229"/>
      <w:bookmarkStart w:id="138" w:name="_Toc16938545"/>
    </w:p>
    <w:p w14:paraId="09FD44F8">
      <w:pPr>
        <w:pageBreakBefore w:val="0"/>
        <w:widowControl w:val="0"/>
        <w:numPr>
          <w:ilvl w:val="0"/>
          <w:numId w:val="4"/>
        </w:numPr>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开标与评标</w:t>
      </w:r>
      <w:bookmarkEnd w:id="135"/>
      <w:bookmarkEnd w:id="136"/>
      <w:bookmarkEnd w:id="137"/>
      <w:bookmarkEnd w:id="138"/>
      <w:bookmarkStart w:id="139" w:name="_Toc16938546"/>
      <w:bookmarkStart w:id="140" w:name="_Toc513029230"/>
      <w:bookmarkStart w:id="141" w:name="_Toc20823302"/>
    </w:p>
    <w:p w14:paraId="1904BB43">
      <w:pPr>
        <w:pageBreakBefore w:val="0"/>
        <w:widowControl w:val="0"/>
        <w:numPr>
          <w:ilvl w:val="0"/>
          <w:numId w:val="5"/>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w:t>
      </w:r>
      <w:bookmarkEnd w:id="139"/>
      <w:bookmarkEnd w:id="140"/>
      <w:bookmarkEnd w:id="141"/>
    </w:p>
    <w:p w14:paraId="20DF4582">
      <w:pPr>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21.1</w:t>
      </w:r>
      <w:r>
        <w:rPr>
          <w:rFonts w:hint="eastAsia" w:ascii="宋体" w:hAnsi="宋体" w:eastAsia="宋体" w:cs="宋体"/>
          <w:b w:val="0"/>
          <w:bCs w:val="0"/>
          <w:color w:val="auto"/>
          <w:sz w:val="24"/>
          <w:szCs w:val="24"/>
          <w:highlight w:val="none"/>
          <w:lang w:val="zh-CN"/>
        </w:rPr>
        <w:t>采购代理</w:t>
      </w:r>
      <w:r>
        <w:rPr>
          <w:rFonts w:hint="eastAsia" w:ascii="宋体" w:hAnsi="宋体" w:eastAsia="宋体" w:cs="宋体"/>
          <w:b w:val="0"/>
          <w:bCs w:val="0"/>
          <w:color w:val="auto"/>
          <w:sz w:val="24"/>
          <w:szCs w:val="24"/>
          <w:highlight w:val="none"/>
        </w:rPr>
        <w:t>机构将在招标公告中规定的时间和地点组织公开开标。投标人应当按照《操作手册》规定，参加开标活动和在苏采云系统规定的时间内对投标文件进行解密。</w:t>
      </w:r>
    </w:p>
    <w:p w14:paraId="3E002F47">
      <w:pPr>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21.2开标仪式由采购中心组织。苏采云系统将自动对项目进行开标，并宣布各投标人名称和投标价格。</w:t>
      </w:r>
    </w:p>
    <w:p w14:paraId="607FD59B">
      <w:pPr>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21.3投标人在开标过程中涉及到的投标文件解密、开标结果确认等工作，应按照《操作手册》规定执行。</w:t>
      </w:r>
    </w:p>
    <w:p w14:paraId="1B627A18">
      <w:pPr>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21.4投标人如果对开标过程和开标记录有疑义，应当根据《操作手册》规定提出，如苏采云系统中《开标记录表》宣布后5分钟内未提出的，视同认可开标结果。</w:t>
      </w:r>
    </w:p>
    <w:p w14:paraId="0C100C6A">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22、评标委员会</w:t>
      </w:r>
    </w:p>
    <w:p w14:paraId="65CEC292">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22.1开标后，</w:t>
      </w:r>
      <w:r>
        <w:rPr>
          <w:rFonts w:hint="eastAsia" w:ascii="宋体" w:hAnsi="宋体" w:eastAsia="宋体" w:cs="宋体"/>
          <w:color w:val="auto"/>
          <w:sz w:val="24"/>
          <w:szCs w:val="20"/>
          <w:highlight w:val="none"/>
          <w:lang w:val="zh-CN"/>
        </w:rPr>
        <w:t>采购代理</w:t>
      </w:r>
      <w:r>
        <w:rPr>
          <w:rFonts w:hint="eastAsia" w:ascii="宋体" w:hAnsi="宋体" w:eastAsia="宋体" w:cs="宋体"/>
          <w:color w:val="auto"/>
          <w:sz w:val="24"/>
          <w:szCs w:val="20"/>
          <w:highlight w:val="none"/>
        </w:rPr>
        <w:t>机构</w:t>
      </w:r>
      <w:r>
        <w:rPr>
          <w:rFonts w:hint="eastAsia" w:ascii="宋体" w:hAnsi="宋体" w:eastAsia="宋体" w:cs="宋体"/>
          <w:bCs/>
          <w:color w:val="auto"/>
          <w:sz w:val="24"/>
          <w:szCs w:val="24"/>
          <w:highlight w:val="none"/>
        </w:rPr>
        <w:t>将立即组织评标委员会（以下简称评委会）进行评标。</w:t>
      </w:r>
    </w:p>
    <w:p w14:paraId="46D6CEB2">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22.2评委会由采购人代表和有关技术、经济等方面的专家组成，且人员构成符合政府采购有关规定。</w:t>
      </w:r>
    </w:p>
    <w:p w14:paraId="61FC7026">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22.3评委会独立工作，负责评审所有投标文件并确定中标侯选人。</w:t>
      </w:r>
    </w:p>
    <w:p w14:paraId="62ACE19E">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23、评标过程的保密与公正</w:t>
      </w:r>
    </w:p>
    <w:p w14:paraId="7CFCD5C4">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23.1凡是与审查、澄清、评价和比较投标的有关资料以及授标建议等，采购人、评委、采购代理机构均不得向投标人或与评标无关的其他人员透露。</w:t>
      </w:r>
    </w:p>
    <w:p w14:paraId="28A79626">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23.2在评标过程中，投标人不得以任何行为影响评标过程，否则其投标文件将被作为无效投标文件。</w:t>
      </w:r>
    </w:p>
    <w:p w14:paraId="20BFF9EA">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23.3</w:t>
      </w:r>
      <w:r>
        <w:rPr>
          <w:rFonts w:hint="eastAsia" w:ascii="宋体" w:hAnsi="宋体" w:eastAsia="宋体" w:cs="宋体"/>
          <w:color w:val="auto"/>
          <w:sz w:val="24"/>
          <w:szCs w:val="20"/>
          <w:highlight w:val="none"/>
          <w:lang w:val="zh-CN"/>
        </w:rPr>
        <w:t>采购人、评标委员会和采购代理机构</w:t>
      </w:r>
      <w:r>
        <w:rPr>
          <w:rFonts w:hint="eastAsia" w:ascii="宋体" w:hAnsi="宋体" w:eastAsia="宋体" w:cs="宋体"/>
          <w:bCs/>
          <w:color w:val="auto"/>
          <w:sz w:val="24"/>
          <w:szCs w:val="24"/>
          <w:highlight w:val="none"/>
        </w:rPr>
        <w:t>不向未中标的投标人解释未中标原因，也不公布评标过程中的相关细节。</w:t>
      </w:r>
    </w:p>
    <w:p w14:paraId="5752C988">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23.4采用综合评分法的项目，未中标的投标人可于中标结果公告期限届满之日起通过苏采云系统查看自己的评审得分及排序情况。</w:t>
      </w:r>
    </w:p>
    <w:p w14:paraId="612EB20A">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24、投标文件的澄清</w:t>
      </w:r>
    </w:p>
    <w:p w14:paraId="423C6066">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24.1评标期间，评委会对投标文件中含义不明确、同类问题表述不一致或者有明显文字和计算错误的内容，有权要求投标人作出必要的澄清、说明或者补正。</w:t>
      </w:r>
    </w:p>
    <w:p w14:paraId="3A995CAF">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投标人的澄清、说明或者补正不得超出投标文件的范围或者改变投标文件的实质性内容。</w:t>
      </w:r>
    </w:p>
    <w:p w14:paraId="5BC5819B">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评标委员会并非对每个投标人都做澄清要求。</w:t>
      </w:r>
    </w:p>
    <w:p w14:paraId="19B06BD0">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24.2需要供应商进行澄清、说明和补正的，</w:t>
      </w:r>
      <w:r>
        <w:rPr>
          <w:rFonts w:hint="eastAsia" w:ascii="宋体" w:hAnsi="宋体" w:eastAsia="宋体" w:cs="宋体"/>
          <w:color w:val="auto"/>
          <w:sz w:val="24"/>
          <w:szCs w:val="24"/>
          <w:highlight w:val="none"/>
        </w:rPr>
        <w:t>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881EF79">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24.3接到评委会澄清、说明和补正要求的投标人如未按规定做出澄清、说明和补正，其风险由投标人自行承担。</w:t>
      </w:r>
    </w:p>
    <w:p w14:paraId="633F0B64">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25、对投标文件的初审</w:t>
      </w:r>
    </w:p>
    <w:p w14:paraId="5FF4816E">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25.1投标文件初审分为资格审查和符合性审查。</w:t>
      </w:r>
    </w:p>
    <w:p w14:paraId="696D7188">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25.1.1资格审查：依据法律法规和招标文件的规定，由采购人</w:t>
      </w:r>
      <w:r>
        <w:rPr>
          <w:rFonts w:hint="eastAsia" w:ascii="宋体" w:hAnsi="宋体" w:cs="宋体"/>
          <w:bCs/>
          <w:color w:val="auto"/>
          <w:sz w:val="24"/>
          <w:szCs w:val="24"/>
          <w:highlight w:val="none"/>
          <w:lang w:val="en-US" w:eastAsia="zh-CN"/>
        </w:rPr>
        <w:t>或采购代理机构</w:t>
      </w:r>
      <w:r>
        <w:rPr>
          <w:rFonts w:hint="eastAsia" w:ascii="宋体" w:hAnsi="宋体" w:eastAsia="宋体" w:cs="宋体"/>
          <w:bCs/>
          <w:color w:val="auto"/>
          <w:sz w:val="24"/>
          <w:szCs w:val="24"/>
          <w:highlight w:val="none"/>
        </w:rPr>
        <w:t>对投标文件中的资格证明文件进行审查。资格审查的结论，采购人</w:t>
      </w:r>
      <w:r>
        <w:rPr>
          <w:rFonts w:hint="eastAsia" w:ascii="宋体" w:hAnsi="宋体" w:cs="宋体"/>
          <w:bCs/>
          <w:color w:val="auto"/>
          <w:sz w:val="24"/>
          <w:szCs w:val="24"/>
          <w:highlight w:val="none"/>
          <w:lang w:val="en-US" w:eastAsia="zh-CN"/>
        </w:rPr>
        <w:t>或采购代理机构</w:t>
      </w:r>
      <w:r>
        <w:rPr>
          <w:rFonts w:hint="eastAsia" w:ascii="宋体" w:hAnsi="宋体" w:eastAsia="宋体" w:cs="宋体"/>
          <w:bCs/>
          <w:color w:val="auto"/>
          <w:sz w:val="24"/>
          <w:szCs w:val="24"/>
          <w:highlight w:val="none"/>
        </w:rPr>
        <w:t>以书面形式向评委会进行反馈。</w:t>
      </w:r>
    </w:p>
    <w:p w14:paraId="67C77F77">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w:t>
      </w:r>
      <w:r>
        <w:rPr>
          <w:rFonts w:hint="eastAsia" w:ascii="宋体" w:hAnsi="宋体" w:cs="宋体"/>
          <w:bCs/>
          <w:color w:val="auto"/>
          <w:sz w:val="24"/>
          <w:szCs w:val="24"/>
          <w:highlight w:val="none"/>
          <w:lang w:val="en-US" w:eastAsia="zh-CN"/>
        </w:rPr>
        <w:t>或采购代理机构</w:t>
      </w:r>
      <w:r>
        <w:rPr>
          <w:rFonts w:hint="eastAsia" w:ascii="宋体" w:hAnsi="宋体" w:eastAsia="宋体" w:cs="宋体"/>
          <w:bCs/>
          <w:color w:val="auto"/>
          <w:sz w:val="24"/>
          <w:szCs w:val="24"/>
          <w:highlight w:val="none"/>
        </w:rPr>
        <w:t>在进行资格性审查的同时，将在“信用中国”网站（www.creditchina.gov.cn）查询投标人的信用记录，以确定投标人是否具备投标资格,查询结果留存并归档。</w:t>
      </w:r>
    </w:p>
    <w:p w14:paraId="4F3E73CC">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1D4BCC64">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25.1.3未通过资格审查或符合性审查的投标人，采购人或采购代理机构将告知未通过资格审查或符合性审查的原因，评标结束后，采购中心将不再告知未通过资格审查和符合性审查的原因。</w:t>
      </w:r>
    </w:p>
    <w:p w14:paraId="7BBEF83E">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19586B89">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所谓重大偏离或保留是指与招标文件规定的实质性要求存在负偏离，或者在实质上与招标文件不一致，而且限制了合同中采购人或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C9D44B4">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25.3如果投标文件实质上没有响应招标文件的要求，评委会将予以拒绝，投标人不得通过修改或撤销不合要求的偏离或保留而使其投标成为实质性响应的投标。</w:t>
      </w:r>
    </w:p>
    <w:p w14:paraId="116C8994">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25.4评委会将对确定为实质性响应的投标进行进一步审核，确定其是否有计算上或累加上的算术错误，修正错误的原则如下：</w:t>
      </w:r>
    </w:p>
    <w:p w14:paraId="7D8E2179">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（1）投标文件中开标一览表内容与投标文件中相应内容不一致的，以开标一览表为准。</w:t>
      </w:r>
    </w:p>
    <w:p w14:paraId="0F3E1010">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（2）大写金额和小写金额不一致的，以大写金额为准。</w:t>
      </w:r>
    </w:p>
    <w:p w14:paraId="4DD1B2F7">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（3）单价金额小数点或者百分比有明显错位的，以开标一览表的总价为准，并修改单价。</w:t>
      </w:r>
    </w:p>
    <w:p w14:paraId="706FFE5B">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（4）总价金额与按单价汇总金额不一致的，以单价金额计算结果为准。</w:t>
      </w:r>
    </w:p>
    <w:p w14:paraId="22570AD0">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同时出现两种以上错误的，按照前款规定的顺序修正。</w:t>
      </w:r>
    </w:p>
    <w:p w14:paraId="5D49FE19">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25.5评委会将按上述修正错误的方法调整投标文件中的投标报价，</w:t>
      </w:r>
      <w:r>
        <w:rPr>
          <w:rFonts w:hint="eastAsia" w:ascii="宋体" w:hAnsi="宋体" w:eastAsia="宋体" w:cs="宋体"/>
          <w:color w:val="auto"/>
          <w:sz w:val="24"/>
          <w:szCs w:val="24"/>
          <w:highlight w:val="none"/>
        </w:rPr>
        <w:t>并通过苏采云系统告知投标人，</w:t>
      </w:r>
      <w:r>
        <w:rPr>
          <w:rFonts w:hint="eastAsia" w:ascii="宋体" w:hAnsi="宋体" w:eastAsia="宋体" w:cs="宋体"/>
          <w:bCs/>
          <w:color w:val="auto"/>
          <w:sz w:val="24"/>
          <w:szCs w:val="24"/>
          <w:highlight w:val="none"/>
        </w:rPr>
        <w:t>调整后的价格应对投标人具有约束力。如果投标人不接受修正后的价格，则其投标将被拒绝。</w:t>
      </w:r>
    </w:p>
    <w:p w14:paraId="111647D5">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25.6投标人在开、评标全过程中应保持通讯畅通，及时登录</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查阅、答复相关信息，并安排专人与</w:t>
      </w:r>
      <w:r>
        <w:rPr>
          <w:rFonts w:hint="eastAsia" w:ascii="宋体" w:hAnsi="宋体" w:eastAsia="宋体" w:cs="宋体"/>
          <w:color w:val="auto"/>
          <w:sz w:val="24"/>
          <w:szCs w:val="20"/>
          <w:highlight w:val="none"/>
          <w:lang w:val="zh-CN"/>
        </w:rPr>
        <w:t>采购代理</w:t>
      </w:r>
      <w:r>
        <w:rPr>
          <w:rFonts w:hint="eastAsia" w:ascii="宋体" w:hAnsi="宋体" w:eastAsia="宋体" w:cs="宋体"/>
          <w:color w:val="auto"/>
          <w:sz w:val="24"/>
          <w:szCs w:val="20"/>
          <w:highlight w:val="none"/>
        </w:rPr>
        <w:t>机构</w:t>
      </w:r>
      <w:r>
        <w:rPr>
          <w:rFonts w:hint="eastAsia" w:ascii="宋体" w:hAnsi="宋体" w:eastAsia="宋体" w:cs="宋体"/>
          <w:bCs/>
          <w:color w:val="auto"/>
          <w:sz w:val="24"/>
          <w:szCs w:val="24"/>
          <w:highlight w:val="none"/>
        </w:rPr>
        <w:t>及评标委员会联系。</w:t>
      </w:r>
    </w:p>
    <w:p w14:paraId="16F6159F">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5565D6F1">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26.1无效投标条款</w:t>
      </w:r>
    </w:p>
    <w:p w14:paraId="35C85668">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w:t>
      </w:r>
      <w:r>
        <w:rPr>
          <w:rFonts w:hint="eastAsia" w:ascii="宋体" w:hAnsi="宋体" w:eastAsia="宋体" w:cs="宋体"/>
          <w:color w:val="auto"/>
          <w:sz w:val="24"/>
          <w:szCs w:val="24"/>
          <w:highlight w:val="none"/>
        </w:rPr>
        <w:t>投标人在苏采云系统规定的时间内未成功解密电子投标文件的。</w:t>
      </w:r>
    </w:p>
    <w:p w14:paraId="6493EEB3">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bookmarkStart w:id="142" w:name="OLE_LINK3"/>
      <w:r>
        <w:rPr>
          <w:rFonts w:hint="eastAsia" w:ascii="宋体" w:hAnsi="宋体" w:eastAsia="宋体" w:cs="宋体"/>
          <w:bCs/>
          <w:color w:val="auto"/>
          <w:sz w:val="24"/>
          <w:szCs w:val="24"/>
          <w:highlight w:val="none"/>
        </w:rPr>
        <w:t>26</w:t>
      </w:r>
      <w:bookmarkEnd w:id="142"/>
      <w:r>
        <w:rPr>
          <w:rFonts w:hint="eastAsia" w:ascii="宋体" w:hAnsi="宋体" w:eastAsia="宋体" w:cs="宋体"/>
          <w:bCs/>
          <w:color w:val="auto"/>
          <w:sz w:val="24"/>
          <w:szCs w:val="24"/>
          <w:highlight w:val="none"/>
        </w:rPr>
        <w:t>.1.2投标人未按照招标文件要求上传电子投标文件的。</w:t>
      </w:r>
    </w:p>
    <w:p w14:paraId="3009F77E">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26.1.3同一投标人提交两个（含两个）以上不同的投标报价的。</w:t>
      </w:r>
    </w:p>
    <w:p w14:paraId="4547EC1A">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26.1.4投标人不具备招标文件中规定资格要求的。</w:t>
      </w:r>
    </w:p>
    <w:p w14:paraId="27FFD58D">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26.1.5投标人的报价超过了采购预算或最高限价的。</w:t>
      </w:r>
    </w:p>
    <w:p w14:paraId="1D9647FB">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26.1.6未通过符合性审查的。</w:t>
      </w:r>
    </w:p>
    <w:p w14:paraId="6896B6B0">
      <w:pPr>
        <w:pStyle w:val="31"/>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2"/>
        <w:jc w:val="both"/>
        <w:textAlignment w:val="auto"/>
        <w:rPr>
          <w:rFonts w:hint="eastAsia" w:ascii="宋体" w:hAnsi="宋体" w:eastAsia="宋体" w:cs="宋体"/>
          <w:i/>
          <w:color w:val="auto"/>
          <w:highlight w:val="none"/>
          <w:u w:val="single"/>
        </w:rPr>
      </w:pPr>
      <w:r>
        <w:rPr>
          <w:rFonts w:hint="eastAsia" w:ascii="宋体" w:hAnsi="宋体" w:eastAsia="宋体" w:cs="宋体"/>
          <w:bCs/>
          <w:color w:val="auto"/>
          <w:highlight w:val="none"/>
        </w:rPr>
        <w:t>26.1.7不符合招标文件中规定的实质性要求和条件的</w:t>
      </w:r>
      <w:r>
        <w:rPr>
          <w:rFonts w:hint="eastAsia" w:ascii="宋体" w:hAnsi="宋体" w:eastAsia="宋体" w:cs="宋体"/>
          <w:i/>
          <w:color w:val="auto"/>
          <w:highlight w:val="none"/>
          <w:u w:val="single"/>
        </w:rPr>
        <w:t>（本招标文件中斜体且有下划线部分为实质性要求和条件）。</w:t>
      </w:r>
    </w:p>
    <w:p w14:paraId="4F8187AA">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8EC03A7">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26.1.9投标文件含有采购人不能接受的附加条件的。</w:t>
      </w:r>
    </w:p>
    <w:p w14:paraId="381CBE9A">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苏采云系统要求</w:t>
      </w:r>
      <w:r>
        <w:rPr>
          <w:rFonts w:hint="eastAsia" w:ascii="宋体" w:hAnsi="宋体" w:eastAsia="宋体" w:cs="宋体"/>
          <w:bCs/>
          <w:color w:val="auto"/>
          <w:sz w:val="24"/>
          <w:szCs w:val="24"/>
          <w:highlight w:val="none"/>
        </w:rPr>
        <w:t>其在合理的时间内提供说明，必要时提交相关证明材料；投标人不能证明其报价合理性的，评标委员会应当将其作为无效投标处理。</w:t>
      </w:r>
    </w:p>
    <w:p w14:paraId="6EFB0168">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26.1.11投标文件未按照招标文件要求加盖</w:t>
      </w:r>
      <w:r>
        <w:rPr>
          <w:rFonts w:hint="eastAsia" w:ascii="宋体" w:hAnsi="宋体" w:eastAsia="宋体" w:cs="宋体"/>
          <w:color w:val="auto"/>
          <w:sz w:val="24"/>
          <w:szCs w:val="24"/>
          <w:highlight w:val="none"/>
        </w:rPr>
        <w:t>CA电子</w:t>
      </w:r>
      <w:r>
        <w:rPr>
          <w:rFonts w:hint="eastAsia" w:ascii="宋体" w:hAnsi="宋体" w:eastAsia="宋体" w:cs="宋体"/>
          <w:bCs/>
          <w:color w:val="auto"/>
          <w:sz w:val="24"/>
          <w:szCs w:val="24"/>
          <w:highlight w:val="none"/>
        </w:rPr>
        <w:t>公章的。</w:t>
      </w:r>
    </w:p>
    <w:p w14:paraId="7CDA3E77">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26.1.12其他法律、法规及本招标文件规定的属无效投标的情形。</w:t>
      </w:r>
    </w:p>
    <w:p w14:paraId="033276D8">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bookmarkStart w:id="143" w:name="OLE_LINK4"/>
      <w:r>
        <w:rPr>
          <w:rFonts w:hint="eastAsia" w:ascii="宋体" w:hAnsi="宋体" w:eastAsia="宋体" w:cs="宋体"/>
          <w:bCs/>
          <w:color w:val="auto"/>
          <w:sz w:val="24"/>
          <w:szCs w:val="24"/>
          <w:highlight w:val="none"/>
        </w:rPr>
        <w:t>26</w:t>
      </w:r>
      <w:bookmarkEnd w:id="143"/>
      <w:r>
        <w:rPr>
          <w:rFonts w:hint="eastAsia" w:ascii="宋体" w:hAnsi="宋体" w:eastAsia="宋体" w:cs="宋体"/>
          <w:bCs/>
          <w:color w:val="auto"/>
          <w:sz w:val="24"/>
          <w:szCs w:val="24"/>
          <w:highlight w:val="none"/>
        </w:rPr>
        <w:t>.2废标条款</w:t>
      </w:r>
    </w:p>
    <w:p w14:paraId="2866079A">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26.2.1符合专业条件的供应商或者对招标文件作实质响应的供应商不足三家的。</w:t>
      </w:r>
    </w:p>
    <w:p w14:paraId="050DEB08">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26.2.2出现影响采购公正的违法、违规行为的。</w:t>
      </w:r>
    </w:p>
    <w:p w14:paraId="561583AF">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26.2.3因重大变故，采购任务取消的。</w:t>
      </w:r>
    </w:p>
    <w:p w14:paraId="17BDD9BB">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26.2.4评标委员会认定招标文件存在歧义、重大缺陷导致评审工作无法进行。</w:t>
      </w:r>
    </w:p>
    <w:p w14:paraId="7D80FA0B">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26.2.5因</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故障原因造成开标不成功的。</w:t>
      </w:r>
    </w:p>
    <w:p w14:paraId="09057D00">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 投标截止时间结束后参加投标的供应商不足三家的处理：</w:t>
      </w:r>
    </w:p>
    <w:p w14:paraId="2AA38E57">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26.3.1如出现投标截止时间结束后参加投标的供应商或者在评标期间对招标文件做出实质响应的供应商不足三家情况，按政府采购相关规定执行。</w:t>
      </w:r>
    </w:p>
    <w:p w14:paraId="0BCA1C71">
      <w:pPr>
        <w:pStyle w:val="4"/>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六、定标</w:t>
      </w:r>
    </w:p>
    <w:p w14:paraId="6C50A43A">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27、确定中标单位</w:t>
      </w:r>
    </w:p>
    <w:p w14:paraId="5CB25EA0">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27.1中标候选人的选取原则和数量见招标文件第五章规定。</w:t>
      </w:r>
    </w:p>
    <w:p w14:paraId="114356B8">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27.2采购人应根据评委会推荐的中标候选人确定中标人。</w:t>
      </w:r>
    </w:p>
    <w:p w14:paraId="3BCC950B">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27.3采购人或采购代理机构将在“中国政府采购网”、“江苏政府采购网”、“盐城市政府采购网”发布中标公告，公告期限为1个工作日。</w:t>
      </w:r>
    </w:p>
    <w:p w14:paraId="63021285">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27.4若有充分证据证明，中标人出现下列情况之一的，一经查实，将被取消中标资格：</w:t>
      </w:r>
    </w:p>
    <w:p w14:paraId="54391B1D">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27.4.1提供虚假材料谋取中标的。</w:t>
      </w:r>
    </w:p>
    <w:p w14:paraId="56AD34D2">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27.4.2向采购人、采购代理机构行贿或者提供其他不正当利益的。</w:t>
      </w:r>
    </w:p>
    <w:p w14:paraId="47EEED75">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27.4.3属于本文件规定的无效条件，但在评标过程中又未被评委会发现的。</w:t>
      </w:r>
    </w:p>
    <w:p w14:paraId="017DF0DE">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27.4.4与采购人或者其他供应商恶意串通的。</w:t>
      </w:r>
    </w:p>
    <w:p w14:paraId="2C61FE7C">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27.4.5采取不正当手段诋毁、排挤其他供应商的。</w:t>
      </w:r>
    </w:p>
    <w:p w14:paraId="690BE45C">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27.5 有下列情形之一的，视为投标人串通投标，投标无效：</w:t>
      </w:r>
    </w:p>
    <w:p w14:paraId="0574E904">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27.5.1不同投标人的投标文件由同一单位或者个人编制。</w:t>
      </w:r>
    </w:p>
    <w:p w14:paraId="39405FAA">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27.5.2不同投标人委托同一单位或者个人办理投标事宜。</w:t>
      </w:r>
    </w:p>
    <w:p w14:paraId="10995B2C">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27.5.3不同投标人的投标文件载明的项目管理成员或者联系人员为同一人。</w:t>
      </w:r>
    </w:p>
    <w:p w14:paraId="69063B51">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27.5.4不同投标人的投标文件异常一致或者投标报价呈规律性差异。</w:t>
      </w:r>
    </w:p>
    <w:p w14:paraId="616998BF">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28、质疑处理</w:t>
      </w:r>
    </w:p>
    <w:p w14:paraId="768760F0">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bookmarkStart w:id="144" w:name="OLE_LINK6"/>
      <w:r>
        <w:rPr>
          <w:rFonts w:hint="eastAsia" w:ascii="宋体" w:hAnsi="宋体" w:eastAsia="宋体" w:cs="宋体"/>
          <w:bCs/>
          <w:color w:val="auto"/>
          <w:sz w:val="24"/>
          <w:szCs w:val="24"/>
          <w:highlight w:val="none"/>
        </w:rPr>
        <w:t>28</w:t>
      </w:r>
      <w:bookmarkEnd w:id="144"/>
      <w:r>
        <w:rPr>
          <w:rFonts w:hint="eastAsia" w:ascii="宋体" w:hAnsi="宋体" w:eastAsia="宋体" w:cs="宋体"/>
          <w:bCs/>
          <w:color w:val="auto"/>
          <w:sz w:val="24"/>
          <w:szCs w:val="24"/>
          <w:highlight w:val="none"/>
        </w:rPr>
        <w:t>.1提出质疑的供应商应当是参与所质疑项目采购活动的供应商。潜在供应商依法获取其可质疑的采购文件的，可以对采购文件提出质疑。</w:t>
      </w:r>
    </w:p>
    <w:p w14:paraId="3AECD866">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0FBED03A">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28.2.1对可以质疑的采购文件提出质疑的，为收到采购文件之日或者采购文件公告期限届满之日；</w:t>
      </w:r>
    </w:p>
    <w:p w14:paraId="7119DF7C">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28.2.2对采购过程提出质疑的，为各采购程序环节结束之日；</w:t>
      </w:r>
    </w:p>
    <w:p w14:paraId="44482711">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28.2.3对中标或者成交结果提出质疑的，为中标或者成交结果公告期限届满之日。</w:t>
      </w:r>
    </w:p>
    <w:p w14:paraId="06D59CC7">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35EA330A">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0B2F6BA">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4D0EA3E4">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采购代理机构及采购人只接收以纸质原件形式送达的质疑,采购人和采购代理机构不接受未填写快递运单的快件。</w:t>
      </w:r>
    </w:p>
    <w:p w14:paraId="6D24B0B8">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bookmarkStart w:id="145" w:name="OLE_LINK7"/>
      <w:r>
        <w:rPr>
          <w:rFonts w:hint="eastAsia" w:ascii="宋体" w:hAnsi="宋体" w:eastAsia="宋体" w:cs="宋体"/>
          <w:bCs/>
          <w:color w:val="auto"/>
          <w:sz w:val="24"/>
          <w:szCs w:val="24"/>
          <w:highlight w:val="none"/>
        </w:rPr>
        <w:t>28</w:t>
      </w:r>
      <w:bookmarkEnd w:id="145"/>
      <w:r>
        <w:rPr>
          <w:rFonts w:hint="eastAsia" w:ascii="宋体" w:hAnsi="宋体" w:eastAsia="宋体" w:cs="宋体"/>
          <w:bCs/>
          <w:color w:val="auto"/>
          <w:sz w:val="24"/>
          <w:szCs w:val="24"/>
          <w:highlight w:val="none"/>
        </w:rPr>
        <w:t>.5 以下情形的质疑不予受理</w:t>
      </w:r>
    </w:p>
    <w:p w14:paraId="088F4FA0">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28.5.1内容不符合《政府采购质疑和投诉办法》第十二条规定的质疑。</w:t>
      </w:r>
    </w:p>
    <w:p w14:paraId="07ABDA11">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28.5.2超出政府采购法定期限的质疑。</w:t>
      </w:r>
    </w:p>
    <w:p w14:paraId="334B70B6">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28.5.3以传真、电子邮件等方式递交的非原件形式的质疑。</w:t>
      </w:r>
    </w:p>
    <w:p w14:paraId="7F7E8543">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28.5.4未参加投标活动的供应商或在投标活动中自身权益未受到损害的供应商所提出的质疑。</w:t>
      </w:r>
    </w:p>
    <w:p w14:paraId="41A0BB2D">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28.5.5供应商组成联合体参加投标，联合体中任何一方或多方未按要求签字、盖章、加盖公章的质疑。</w:t>
      </w:r>
    </w:p>
    <w:p w14:paraId="0EE7CC2E">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25EDA880">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29、中标通知书</w:t>
      </w:r>
    </w:p>
    <w:p w14:paraId="5E385C26">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29.l中标结果确定后，采购人或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FC8CC12">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70682754">
      <w:pPr>
        <w:pStyle w:val="4"/>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七、授予合同</w:t>
      </w:r>
    </w:p>
    <w:p w14:paraId="753F7B69">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30.签订合同</w:t>
      </w:r>
    </w:p>
    <w:p w14:paraId="67A907EB">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30.l中标人应当在中标通知书发出之日起三十日内，按照招标文件确定的事项与采购人签订政府采购合同。</w:t>
      </w:r>
    </w:p>
    <w:p w14:paraId="7E80D270">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30.2招标文件、中标人的投标文件及招标过程中有关澄清、承诺文件均应作为合同附件。</w:t>
      </w:r>
    </w:p>
    <w:p w14:paraId="084D4477">
      <w:pPr>
        <w:pStyle w:val="31"/>
        <w:pageBreakBefore w:val="0"/>
        <w:widowControl w:val="0"/>
        <w:kinsoku/>
        <w:wordWrap/>
        <w:overflowPunct/>
        <w:topLinePunct w:val="0"/>
        <w:autoSpaceDE/>
        <w:autoSpaceDN/>
        <w:bidi w:val="0"/>
        <w:adjustRightInd/>
        <w:snapToGrid w:val="0"/>
        <w:spacing w:beforeAutospacing="0" w:afterAutospacing="0" w:line="360" w:lineRule="auto"/>
        <w:ind w:firstLine="480"/>
        <w:jc w:val="both"/>
        <w:textAlignment w:val="auto"/>
        <w:rPr>
          <w:rFonts w:hint="eastAsia" w:ascii="宋体" w:hAnsi="宋体" w:eastAsia="宋体" w:cs="宋体"/>
          <w:bCs/>
          <w:color w:val="auto"/>
          <w:highlight w:val="none"/>
        </w:rPr>
      </w:pPr>
      <w:r>
        <w:rPr>
          <w:rFonts w:hint="eastAsia" w:ascii="宋体" w:hAnsi="宋体" w:eastAsia="宋体" w:cs="宋体"/>
          <w:bCs/>
          <w:color w:val="auto"/>
          <w:highlight w:val="none"/>
        </w:rPr>
        <w:t>30.3签订合同后，</w:t>
      </w:r>
      <w:r>
        <w:rPr>
          <w:rFonts w:hint="eastAsia" w:ascii="宋体" w:hAnsi="宋体" w:eastAsia="宋体" w:cs="宋体"/>
          <w:bCs/>
          <w:i/>
          <w:color w:val="auto"/>
          <w:highlight w:val="none"/>
          <w:u w:val="single"/>
        </w:rPr>
        <w:t>中标人不得将合同标的进行转包</w:t>
      </w:r>
      <w:r>
        <w:rPr>
          <w:rFonts w:hint="eastAsia" w:ascii="宋体" w:hAnsi="宋体" w:eastAsia="宋体" w:cs="宋体"/>
          <w:bCs/>
          <w:color w:val="auto"/>
          <w:highlight w:val="none"/>
        </w:rPr>
        <w:t>。未经采购人同意，中标人也不得采用分包的形式履行合同，否则采购人有权终止合同。转包或分包造成采购人损失的，中标人应承担相应赔偿责任。</w:t>
      </w:r>
    </w:p>
    <w:p w14:paraId="1E8CE634">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31、服务（包含与服务相关的货物）的追加</w:t>
      </w:r>
    </w:p>
    <w:p w14:paraId="173FBD9A">
      <w:pPr>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政府采购合同履行中，采购人需追加与合同标的相同的服务（包含与服务相关的货物），在不改变合同其他条款的前提下，可以与中标人协商签订补充合同，但所有补充合同的采购金额不超过原合同金额10%。</w:t>
      </w:r>
    </w:p>
    <w:p w14:paraId="29B2D35E">
      <w:pPr>
        <w:pStyle w:val="5"/>
        <w:pageBreakBefore w:val="0"/>
        <w:widowControl w:val="0"/>
        <w:kinsoku/>
        <w:wordWrap/>
        <w:overflowPunct/>
        <w:topLinePunct w:val="0"/>
        <w:autoSpaceDE/>
        <w:autoSpaceDN/>
        <w:bidi w:val="0"/>
        <w:adjustRightInd/>
        <w:snapToGrid w:val="0"/>
        <w:spacing w:before="0" w:after="0"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32、政府采购政策功能落实</w:t>
      </w:r>
    </w:p>
    <w:p w14:paraId="4A134B97">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w:t>
      </w:r>
      <w:r>
        <w:rPr>
          <w:rFonts w:hint="eastAsia" w:ascii="宋体" w:hAnsi="宋体" w:eastAsia="宋体" w:cs="宋体"/>
          <w:color w:val="auto"/>
          <w:sz w:val="24"/>
          <w:szCs w:val="24"/>
          <w:highlight w:val="none"/>
          <w:lang w:val="zh-CN"/>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rPr>
        <w:t>江苏</w:t>
      </w:r>
      <w:r>
        <w:rPr>
          <w:rFonts w:hint="eastAsia" w:ascii="宋体" w:hAnsi="宋体" w:eastAsia="宋体" w:cs="宋体"/>
          <w:color w:val="auto"/>
          <w:sz w:val="24"/>
          <w:szCs w:val="24"/>
          <w:highlight w:val="none"/>
          <w:lang w:val="zh-CN"/>
        </w:rPr>
        <w:t>政府采购网“政采贷”栏目）申请贷款，相关金融机构按照双方自愿的原则提供便捷、优惠的贷款服务；具体操作流程请参考苏采云系统中操作手册。</w:t>
      </w:r>
    </w:p>
    <w:p w14:paraId="451CA018">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32.2进口产品</w:t>
      </w:r>
    </w:p>
    <w:p w14:paraId="2F2E5B06">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8EE9E2A">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zh-CN"/>
        </w:rPr>
        <w:t>32.3中小企业、监狱企业及残疾人福利性单位</w:t>
      </w:r>
    </w:p>
    <w:p w14:paraId="603E0160">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32.3.1中小企业定义：</w:t>
      </w:r>
    </w:p>
    <w:p w14:paraId="4F41436E">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520A53F">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32.3.2供应商提供的货物</w:t>
      </w:r>
      <w:r>
        <w:rPr>
          <w:rFonts w:hint="eastAsia" w:ascii="宋体" w:hAnsi="宋体" w:eastAsia="宋体" w:cs="宋体"/>
          <w:strike w:val="0"/>
          <w:dstrike w:val="0"/>
          <w:color w:val="auto"/>
          <w:sz w:val="24"/>
          <w:szCs w:val="24"/>
          <w:highlight w:val="none"/>
          <w:lang w:val="zh-CN"/>
        </w:rPr>
        <w:t>、工程</w:t>
      </w:r>
      <w:r>
        <w:rPr>
          <w:rFonts w:hint="eastAsia" w:ascii="宋体" w:hAnsi="宋体" w:eastAsia="宋体" w:cs="宋体"/>
          <w:color w:val="auto"/>
          <w:sz w:val="24"/>
          <w:szCs w:val="24"/>
          <w:highlight w:val="none"/>
          <w:lang w:val="zh-CN"/>
        </w:rPr>
        <w:t>或者服务符合下列情形的，享受中小企业扶持政策：</w:t>
      </w:r>
    </w:p>
    <w:p w14:paraId="7AF0A6F6">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32.3.2.1在货物采购项目中，货物由中小企业制造，即货物由中小企业生产且使用该中小企业商号或者注册商标；</w:t>
      </w:r>
    </w:p>
    <w:p w14:paraId="05A103B5">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32.3.2.2在工程采购项目中，工程由中小企业承建，即工程施工单位为中小企业；</w:t>
      </w:r>
    </w:p>
    <w:p w14:paraId="4F2492C2">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32.3.2.3在服务采购项目中，服务由中小企业承接，即提供服务的人员为中小企业依照《中华人民共和国劳动合同法》订立劳动合同的从业人员。</w:t>
      </w:r>
    </w:p>
    <w:p w14:paraId="7BFBDDD0">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32.3.3在货物采购项目中，供应商提供的货物既有中小企业制造货物，也有大型企业制造货物的，不享受中小企业扶持政策。</w:t>
      </w:r>
    </w:p>
    <w:p w14:paraId="0C1D1D3A">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32.3.4以联合体形式参加政府采购活动，联合体各方均为中小企业的，联合体视同中小企业。其中，联合体各方均为小微企业的，联合体视同小微企业。</w:t>
      </w:r>
    </w:p>
    <w:p w14:paraId="26839C58">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84B3B54">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32.3.6残疾人福利单位定义：享受政府采购支持政策的残疾人福利性单位应当同时满足以下条件：</w:t>
      </w:r>
    </w:p>
    <w:p w14:paraId="579A70B7">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32.3.6.1安置的残疾人占本单位在职职工人数的比例不低于25%（含25%），并且安置的残疾人人数不少于10 人（含10 人）；</w:t>
      </w:r>
    </w:p>
    <w:p w14:paraId="2D2134CC">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32.3.6.2依法与安置的每位残疾人签订了一年以上（含一年）的劳动合同或服务协议；</w:t>
      </w:r>
    </w:p>
    <w:p w14:paraId="519351F6">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32.3.6.3为安置的每位残疾人按月足额缴纳了基本养老保险、基本医疗保险、失业保险、工伤保险和生育保险等社会保险费；</w:t>
      </w:r>
    </w:p>
    <w:p w14:paraId="4312B55C">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32.3.6.4通过银行等金融机构向安置的每位残疾人，按月支付了不低于单位所在区县适用的经省级人民政府批准的月最低工资标准的工资；</w:t>
      </w:r>
    </w:p>
    <w:p w14:paraId="20D333F2">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32.3.6.5提供本单位制造的货物、承担的工程或者服务（以下简称产品），或者提供其他残疾人福利性单位制造的货物（不包括使用非残疾人福利性单位注册商标的货物）；</w:t>
      </w:r>
    </w:p>
    <w:p w14:paraId="52C1FB84">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5B218CB">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32.3.7本项目是否专门面向中小企业预留采购份额见第一章《招标公告》。</w:t>
      </w:r>
    </w:p>
    <w:p w14:paraId="54F377AD">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32.3.8采购标的对应的中小企业划分标准所属行业见第四章《采购需求》。</w:t>
      </w:r>
    </w:p>
    <w:p w14:paraId="0699077B">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32.4政府采购节能产品、环境标志产品</w:t>
      </w:r>
    </w:p>
    <w:p w14:paraId="62B038D9">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DA865A6">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AD3F3FA">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32.5绿色包装</w:t>
      </w:r>
    </w:p>
    <w:p w14:paraId="63DB4222">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27BC48F">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32.6政府采购创新产品</w:t>
      </w:r>
    </w:p>
    <w:p w14:paraId="473A7600">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采购人优先采购各级政府部门公开发布的有效期内的创新产品、创新服务、首台套、首购首用等《目录》的创新产品。</w:t>
      </w:r>
    </w:p>
    <w:p w14:paraId="77E19563">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32.7绿色数据中心政策 </w:t>
      </w:r>
    </w:p>
    <w:p w14:paraId="5EF17B44">
      <w:pPr>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23A3741">
      <w:pPr>
        <w:pageBreakBefore w:val="0"/>
        <w:widowControl w:val="0"/>
        <w:tabs>
          <w:tab w:val="left" w:pos="900"/>
        </w:tabs>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32.8履约保证金政策</w:t>
      </w:r>
    </w:p>
    <w:p w14:paraId="1D10B8E6">
      <w:pPr>
        <w:pageBreakBefore w:val="0"/>
        <w:widowControl w:val="0"/>
        <w:tabs>
          <w:tab w:val="left" w:pos="900"/>
        </w:tabs>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确需收取履约保证金的，履约保证金的缴纳形式：</w:t>
      </w:r>
    </w:p>
    <w:p w14:paraId="5E5549AA">
      <w:pPr>
        <w:pageBreakBefore w:val="0"/>
        <w:widowControl w:val="0"/>
        <w:tabs>
          <w:tab w:val="left" w:pos="900"/>
        </w:tabs>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BEEB740">
      <w:pPr>
        <w:pageBreakBefore w:val="0"/>
        <w:widowControl w:val="0"/>
        <w:tabs>
          <w:tab w:val="left" w:pos="900"/>
        </w:tabs>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如以履约保函（保险）形式缴纳履约保证金，供应商可通过政府采购电子履约保函（保险）平台（www.jsdzbh.com）在线申请履约保函（保险）。</w:t>
      </w:r>
    </w:p>
    <w:p w14:paraId="168EED5F">
      <w:pPr>
        <w:pageBreakBefore w:val="0"/>
        <w:widowControl w:val="0"/>
        <w:tabs>
          <w:tab w:val="left" w:pos="900"/>
        </w:tabs>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履约保证金金额不得超过合同总价的10%，采购人对第三方信用服务机构依据标准规范评定为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auto"/>
          <w:sz w:val="24"/>
          <w:highlight w:val="none"/>
          <w:lang w:val="en-US" w:eastAsia="zh-CN"/>
        </w:rPr>
        <w:t>降低</w:t>
      </w:r>
      <w:r>
        <w:rPr>
          <w:rFonts w:hint="eastAsia" w:ascii="宋体" w:hAnsi="宋体" w:eastAsia="宋体" w:cs="宋体"/>
          <w:color w:val="auto"/>
          <w:sz w:val="24"/>
          <w:highlight w:val="none"/>
        </w:rPr>
        <w:t>履约保证金</w:t>
      </w:r>
      <w:r>
        <w:rPr>
          <w:rFonts w:hint="eastAsia" w:ascii="宋体" w:hAnsi="宋体" w:eastAsia="宋体" w:cs="宋体"/>
          <w:color w:val="auto"/>
          <w:sz w:val="24"/>
          <w:highlight w:val="none"/>
          <w:lang w:val="en-US" w:eastAsia="zh-CN"/>
        </w:rPr>
        <w:t>为5%</w:t>
      </w:r>
      <w:r>
        <w:rPr>
          <w:rFonts w:hint="eastAsia" w:ascii="宋体" w:hAnsi="宋体" w:eastAsia="宋体" w:cs="宋体"/>
          <w:color w:val="auto"/>
          <w:sz w:val="24"/>
          <w:highlight w:val="none"/>
        </w:rPr>
        <w:t>。</w:t>
      </w:r>
    </w:p>
    <w:p w14:paraId="30C06896">
      <w:pPr>
        <w:pageBreakBefore w:val="0"/>
        <w:widowControl w:val="0"/>
        <w:tabs>
          <w:tab w:val="left" w:pos="900"/>
        </w:tabs>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33.预付款制度</w:t>
      </w:r>
    </w:p>
    <w:p w14:paraId="79423387">
      <w:pPr>
        <w:pageBreakBefore w:val="0"/>
        <w:widowControl w:val="0"/>
        <w:tabs>
          <w:tab w:val="left" w:pos="900"/>
        </w:tabs>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本项目落实预付款制度，预付款比例为</w:t>
      </w:r>
      <w:r>
        <w:rPr>
          <w:rFonts w:hint="eastAsia" w:ascii="宋体" w:hAnsi="宋体" w:eastAsia="宋体" w:cs="宋体"/>
          <w:color w:val="auto"/>
          <w:sz w:val="24"/>
          <w:highlight w:val="none"/>
          <w:u w:val="single"/>
        </w:rPr>
        <w:t xml:space="preserve"> 30 </w:t>
      </w:r>
      <w:r>
        <w:rPr>
          <w:rFonts w:hint="eastAsia" w:ascii="宋体" w:hAnsi="宋体" w:eastAsia="宋体" w:cs="宋体"/>
          <w:color w:val="auto"/>
          <w:sz w:val="24"/>
          <w:highlight w:val="none"/>
        </w:rPr>
        <w:t>%。在签订合同时，中标、成交供应商明确书面表示无需预付款或者主动要求降低预付款比例的，采购人可就预付款比例作相应调整。</w:t>
      </w:r>
    </w:p>
    <w:p w14:paraId="756CC768">
      <w:pPr>
        <w:tabs>
          <w:tab w:val="left" w:pos="900"/>
        </w:tabs>
        <w:spacing w:line="500" w:lineRule="exact"/>
        <w:ind w:firstLine="480"/>
        <w:rPr>
          <w:rFonts w:hint="eastAsia" w:ascii="宋体" w:hAnsi="宋体" w:eastAsia="宋体" w:cs="宋体"/>
          <w:color w:val="auto"/>
          <w:sz w:val="24"/>
          <w:highlight w:val="none"/>
        </w:rPr>
      </w:pPr>
    </w:p>
    <w:p w14:paraId="6232C49A">
      <w:pPr>
        <w:spacing w:line="470" w:lineRule="exact"/>
        <w:ind w:firstLine="480"/>
        <w:rPr>
          <w:rFonts w:hint="eastAsia" w:ascii="宋体" w:hAnsi="宋体" w:eastAsia="宋体" w:cs="宋体"/>
          <w:color w:val="auto"/>
          <w:sz w:val="24"/>
          <w:highlight w:val="none"/>
        </w:rPr>
      </w:pPr>
    </w:p>
    <w:bookmarkEnd w:id="41"/>
    <w:bookmarkEnd w:id="42"/>
    <w:bookmarkEnd w:id="43"/>
    <w:bookmarkEnd w:id="44"/>
    <w:bookmarkEnd w:id="45"/>
    <w:p w14:paraId="78243CBE">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auto"/>
          <w:sz w:val="44"/>
          <w:szCs w:val="44"/>
          <w:highlight w:val="none"/>
        </w:rPr>
      </w:pPr>
      <w:bookmarkStart w:id="146" w:name="_Toc49090575"/>
      <w:bookmarkStart w:id="147" w:name="_Toc26554093"/>
      <w:bookmarkStart w:id="148" w:name="_Toc462564139"/>
      <w:bookmarkStart w:id="149" w:name="_Toc479757211"/>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第三章  合同文本</w:t>
      </w:r>
    </w:p>
    <w:p w14:paraId="6BCF9315">
      <w:pPr>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盐城市政府采购合同</w:t>
      </w:r>
    </w:p>
    <w:p w14:paraId="2E1EAA8F">
      <w:pPr>
        <w:pageBreakBefore w:val="0"/>
        <w:kinsoku/>
        <w:wordWrap/>
        <w:overflowPunct/>
        <w:topLinePunct w:val="0"/>
        <w:autoSpaceDE/>
        <w:autoSpaceDN/>
        <w:bidi w:val="0"/>
        <w:adjustRightInd/>
        <w:snapToGrid w:val="0"/>
        <w:spacing w:line="360" w:lineRule="auto"/>
        <w:ind w:firstLine="2088"/>
        <w:textAlignment w:val="auto"/>
        <w:rPr>
          <w:rFonts w:hint="eastAsia" w:ascii="宋体" w:hAnsi="宋体" w:eastAsia="宋体" w:cs="宋体"/>
          <w:b/>
          <w:bCs/>
          <w:color w:val="auto"/>
          <w:sz w:val="40"/>
          <w:szCs w:val="40"/>
          <w:highlight w:val="none"/>
        </w:rPr>
      </w:pPr>
    </w:p>
    <w:p w14:paraId="4DF9CFB5">
      <w:pPr>
        <w:pageBreakBefore w:val="0"/>
        <w:kinsoku/>
        <w:wordWrap/>
        <w:overflowPunct/>
        <w:topLinePunct w:val="0"/>
        <w:autoSpaceDE/>
        <w:autoSpaceDN/>
        <w:bidi w:val="0"/>
        <w:adjustRightInd/>
        <w:snapToGrid w:val="0"/>
        <w:spacing w:line="360" w:lineRule="auto"/>
        <w:ind w:firstLine="811"/>
        <w:textAlignment w:val="auto"/>
        <w:rPr>
          <w:rFonts w:hint="eastAsia" w:ascii="宋体" w:hAnsi="宋体" w:eastAsia="宋体" w:cs="宋体"/>
          <w:b/>
          <w:bCs/>
          <w:color w:val="auto"/>
          <w:sz w:val="40"/>
          <w:szCs w:val="40"/>
          <w:highlight w:val="none"/>
        </w:rPr>
      </w:pPr>
    </w:p>
    <w:p w14:paraId="7C50C635">
      <w:pPr>
        <w:pageBreakBefore w:val="0"/>
        <w:kinsoku/>
        <w:wordWrap/>
        <w:overflowPunct/>
        <w:topLinePunct w:val="0"/>
        <w:autoSpaceDE/>
        <w:autoSpaceDN/>
        <w:bidi w:val="0"/>
        <w:adjustRightInd/>
        <w:snapToGrid w:val="0"/>
        <w:spacing w:line="360" w:lineRule="auto"/>
        <w:ind w:firstLine="811"/>
        <w:textAlignment w:val="auto"/>
        <w:rPr>
          <w:rFonts w:hint="eastAsia" w:ascii="宋体" w:hAnsi="宋体" w:eastAsia="宋体" w:cs="宋体"/>
          <w:b/>
          <w:bCs/>
          <w:color w:val="auto"/>
          <w:sz w:val="40"/>
          <w:szCs w:val="40"/>
          <w:highlight w:val="none"/>
        </w:rPr>
      </w:pPr>
    </w:p>
    <w:p w14:paraId="209D0339">
      <w:pPr>
        <w:pageBreakBefore w:val="0"/>
        <w:kinsoku/>
        <w:wordWrap/>
        <w:overflowPunct/>
        <w:topLinePunct w:val="0"/>
        <w:autoSpaceDE/>
        <w:autoSpaceDN/>
        <w:bidi w:val="0"/>
        <w:adjustRightInd/>
        <w:snapToGrid w:val="0"/>
        <w:spacing w:line="360" w:lineRule="auto"/>
        <w:ind w:firstLine="730"/>
        <w:jc w:val="center"/>
        <w:textAlignment w:val="auto"/>
        <w:rPr>
          <w:rFonts w:hint="eastAsia" w:ascii="宋体" w:hAnsi="宋体" w:eastAsia="宋体" w:cs="宋体"/>
          <w:b/>
          <w:bCs/>
          <w:color w:val="auto"/>
          <w:sz w:val="36"/>
          <w:szCs w:val="36"/>
          <w:highlight w:val="none"/>
        </w:rPr>
      </w:pPr>
    </w:p>
    <w:p w14:paraId="40E3AEB9">
      <w:pPr>
        <w:pageBreakBefore w:val="0"/>
        <w:tabs>
          <w:tab w:val="left" w:pos="2310"/>
        </w:tabs>
        <w:kinsoku/>
        <w:wordWrap/>
        <w:overflowPunct/>
        <w:topLinePunct w:val="0"/>
        <w:autoSpaceDE/>
        <w:autoSpaceDN/>
        <w:bidi w:val="0"/>
        <w:adjustRightInd/>
        <w:snapToGrid w:val="0"/>
        <w:spacing w:line="360" w:lineRule="auto"/>
        <w:ind w:left="1800" w:hanging="1800" w:hangingChars="500"/>
        <w:jc w:val="left"/>
        <w:textAlignment w:val="auto"/>
        <w:rPr>
          <w:rFonts w:hint="eastAsia" w:ascii="宋体" w:hAnsi="宋体" w:eastAsia="宋体" w:cs="宋体"/>
          <w:color w:val="auto"/>
          <w:sz w:val="22"/>
          <w:szCs w:val="28"/>
          <w:highlight w:val="none"/>
          <w:lang w:val="zh-TW" w:eastAsia="zh-CN"/>
        </w:rPr>
      </w:pPr>
      <w:r>
        <w:rPr>
          <w:rFonts w:hint="eastAsia" w:ascii="宋体" w:hAnsi="宋体" w:eastAsia="宋体" w:cs="宋体"/>
          <w:color w:val="auto"/>
          <w:sz w:val="36"/>
          <w:szCs w:val="36"/>
          <w:highlight w:val="none"/>
          <w:lang w:val="zh-TW" w:eastAsia="zh-TW"/>
        </w:rPr>
        <w:t>项目名称：</w:t>
      </w:r>
      <w:r>
        <w:rPr>
          <w:rFonts w:hint="eastAsia" w:ascii="宋体" w:hAnsi="宋体" w:cs="宋体"/>
          <w:color w:val="auto"/>
          <w:sz w:val="36"/>
          <w:szCs w:val="36"/>
          <w:highlight w:val="none"/>
          <w:lang w:val="zh-TW" w:eastAsia="zh-CN"/>
        </w:rPr>
        <w:t>盐城市区2025-2026年主要道路及节点时令花卉布置项目</w:t>
      </w:r>
    </w:p>
    <w:p w14:paraId="61A13878">
      <w:pPr>
        <w:pStyle w:val="33"/>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highlight w:val="none"/>
          <w:lang w:val="zh-TW" w:eastAsia="zh-TW"/>
        </w:rPr>
      </w:pPr>
    </w:p>
    <w:p w14:paraId="635FC112">
      <w:pPr>
        <w:pageBreakBefore w:val="0"/>
        <w:kinsoku/>
        <w:wordWrap/>
        <w:overflowPunct/>
        <w:topLinePunct w:val="0"/>
        <w:autoSpaceDE/>
        <w:autoSpaceDN/>
        <w:bidi w:val="0"/>
        <w:adjustRightInd/>
        <w:snapToGrid w:val="0"/>
        <w:spacing w:line="360" w:lineRule="auto"/>
        <w:ind w:firstLine="1677"/>
        <w:jc w:val="left"/>
        <w:textAlignment w:val="auto"/>
        <w:rPr>
          <w:rFonts w:hint="eastAsia" w:ascii="宋体" w:hAnsi="宋体" w:eastAsia="宋体" w:cs="宋体"/>
          <w:color w:val="auto"/>
          <w:sz w:val="36"/>
          <w:szCs w:val="36"/>
          <w:highlight w:val="none"/>
          <w:lang w:val="zh-TW" w:eastAsia="zh-TW"/>
        </w:rPr>
      </w:pPr>
    </w:p>
    <w:p w14:paraId="114F20FD">
      <w:pPr>
        <w:pStyle w:val="16"/>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highlight w:val="none"/>
          <w:lang w:val="zh-TW" w:eastAsia="zh-TW"/>
        </w:rPr>
      </w:pPr>
    </w:p>
    <w:p w14:paraId="74721AAA">
      <w:pPr>
        <w:pStyle w:val="231"/>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52"/>
          <w:szCs w:val="52"/>
          <w:highlight w:val="none"/>
          <w:lang w:val="en-US" w:eastAsia="zh-CN"/>
        </w:rPr>
      </w:pPr>
      <w:r>
        <w:rPr>
          <w:rFonts w:hint="eastAsia" w:ascii="宋体" w:hAnsi="宋体" w:eastAsia="宋体" w:cs="宋体"/>
          <w:color w:val="auto"/>
          <w:sz w:val="36"/>
          <w:szCs w:val="36"/>
          <w:highlight w:val="none"/>
          <w:lang w:val="zh-TW" w:eastAsia="zh-TW"/>
        </w:rPr>
        <w:t>签订日期：</w:t>
      </w:r>
      <w:r>
        <w:rPr>
          <w:rFonts w:hint="eastAsia" w:ascii="宋体" w:hAnsi="宋体" w:eastAsia="宋体" w:cs="宋体"/>
          <w:color w:val="auto"/>
          <w:sz w:val="36"/>
          <w:szCs w:val="36"/>
          <w:highlight w:val="none"/>
        </w:rPr>
        <w:t>2025年  月  日</w:t>
      </w:r>
      <w:r>
        <w:rPr>
          <w:rFonts w:hint="eastAsia" w:ascii="宋体" w:hAnsi="宋体" w:eastAsia="宋体" w:cs="宋体"/>
          <w:color w:val="auto"/>
          <w:highlight w:val="none"/>
        </w:rPr>
        <w:br w:type="page" w:clear="all"/>
      </w:r>
      <w:r>
        <w:rPr>
          <w:rFonts w:hint="eastAsia" w:ascii="宋体" w:hAnsi="宋体" w:eastAsia="宋体" w:cs="宋体"/>
          <w:color w:val="auto"/>
          <w:sz w:val="52"/>
          <w:szCs w:val="52"/>
          <w:highlight w:val="none"/>
          <w:lang w:val="en-US" w:eastAsia="zh-CN"/>
        </w:rPr>
        <w:t>合同主要条款</w:t>
      </w:r>
    </w:p>
    <w:p w14:paraId="10CC9AAB">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合同编号：</w:t>
      </w:r>
    </w:p>
    <w:tbl>
      <w:tblPr>
        <w:tblStyle w:val="38"/>
        <w:tblW w:w="0" w:type="auto"/>
        <w:tblInd w:w="-108" w:type="dxa"/>
        <w:tblLayout w:type="fixed"/>
        <w:tblCellMar>
          <w:top w:w="0" w:type="dxa"/>
          <w:left w:w="0" w:type="dxa"/>
          <w:bottom w:w="0" w:type="dxa"/>
          <w:right w:w="0" w:type="dxa"/>
        </w:tblCellMar>
      </w:tblPr>
      <w:tblGrid>
        <w:gridCol w:w="4643"/>
        <w:gridCol w:w="4643"/>
      </w:tblGrid>
      <w:tr w14:paraId="2282615B">
        <w:tc>
          <w:tcPr>
            <w:tcW w:w="4643" w:type="dxa"/>
            <w:tcBorders>
              <w:top w:val="nil"/>
              <w:left w:val="nil"/>
              <w:bottom w:val="nil"/>
              <w:right w:val="nil"/>
            </w:tcBorders>
            <w:vAlign w:val="top"/>
          </w:tcPr>
          <w:p w14:paraId="1AAD0E55">
            <w:pPr>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：（以下称甲方）</w:t>
            </w:r>
          </w:p>
        </w:tc>
        <w:tc>
          <w:tcPr>
            <w:tcW w:w="4643" w:type="dxa"/>
            <w:tcBorders>
              <w:top w:val="nil"/>
              <w:left w:val="nil"/>
              <w:bottom w:val="nil"/>
              <w:right w:val="nil"/>
            </w:tcBorders>
            <w:vAlign w:val="top"/>
          </w:tcPr>
          <w:p w14:paraId="67AF5D0D">
            <w:pPr>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：（以下称乙方）</w:t>
            </w:r>
          </w:p>
        </w:tc>
      </w:tr>
      <w:tr w14:paraId="48182599">
        <w:tblPrEx>
          <w:tblCellMar>
            <w:top w:w="0" w:type="dxa"/>
            <w:left w:w="0" w:type="dxa"/>
            <w:bottom w:w="0" w:type="dxa"/>
            <w:right w:w="0" w:type="dxa"/>
          </w:tblCellMar>
        </w:tblPrEx>
        <w:tc>
          <w:tcPr>
            <w:tcW w:w="4643" w:type="dxa"/>
            <w:tcBorders>
              <w:top w:val="nil"/>
              <w:left w:val="nil"/>
              <w:bottom w:val="nil"/>
              <w:right w:val="nil"/>
            </w:tcBorders>
            <w:vAlign w:val="top"/>
          </w:tcPr>
          <w:p w14:paraId="3FF61FA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住所地：</w:t>
            </w:r>
          </w:p>
        </w:tc>
        <w:tc>
          <w:tcPr>
            <w:tcW w:w="4643" w:type="dxa"/>
            <w:tcBorders>
              <w:top w:val="nil"/>
              <w:left w:val="nil"/>
              <w:bottom w:val="nil"/>
              <w:right w:val="nil"/>
            </w:tcBorders>
            <w:vAlign w:val="top"/>
          </w:tcPr>
          <w:p w14:paraId="6FAE7AA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住所地：</w:t>
            </w:r>
          </w:p>
        </w:tc>
      </w:tr>
    </w:tbl>
    <w:p w14:paraId="169D8D9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根据《中华人民共和国政府采购法》、《中华人民共和国民法典》等法律法规的规定，甲乙双方按照采购代理机构的</w:t>
      </w:r>
      <w:r>
        <w:rPr>
          <w:rFonts w:hint="eastAsia" w:ascii="宋体" w:hAnsi="宋体" w:eastAsia="宋体" w:cs="宋体"/>
          <w:color w:val="auto"/>
          <w:sz w:val="24"/>
          <w:szCs w:val="24"/>
          <w:highlight w:val="none"/>
          <w:lang w:val="en-US"/>
        </w:rPr>
        <w:t>招标</w:t>
      </w:r>
      <w:r>
        <w:rPr>
          <w:rFonts w:hint="eastAsia" w:ascii="宋体" w:hAnsi="宋体" w:eastAsia="宋体" w:cs="宋体"/>
          <w:color w:val="auto"/>
          <w:sz w:val="24"/>
          <w:szCs w:val="24"/>
          <w:highlight w:val="none"/>
        </w:rPr>
        <w:t>结果签订本合同。</w:t>
      </w:r>
    </w:p>
    <w:p w14:paraId="17E35285">
      <w:pPr>
        <w:spacing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第一条 合同标的</w:t>
      </w:r>
    </w:p>
    <w:p w14:paraId="21E7CC5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rPr>
        <w:t>乙方根据甲方需求提供下列服务：</w:t>
      </w:r>
      <w:r>
        <w:rPr>
          <w:rFonts w:hint="eastAsia" w:ascii="宋体" w:hAnsi="宋体" w:eastAsia="宋体" w:cs="宋体"/>
          <w:color w:val="auto"/>
          <w:sz w:val="24"/>
          <w:szCs w:val="24"/>
          <w:highlight w:val="none"/>
          <w:u w:val="single"/>
        </w:rPr>
        <w:t>根据</w:t>
      </w:r>
      <w:r>
        <w:rPr>
          <w:rFonts w:hint="eastAsia" w:ascii="宋体" w:hAnsi="宋体" w:cs="宋体"/>
          <w:color w:val="auto"/>
          <w:sz w:val="24"/>
          <w:szCs w:val="24"/>
          <w:highlight w:val="none"/>
          <w:u w:val="single"/>
          <w:lang w:val="en-US" w:eastAsia="zh-CN"/>
        </w:rPr>
        <w:t>甲方</w:t>
      </w:r>
      <w:r>
        <w:rPr>
          <w:rFonts w:hint="eastAsia" w:ascii="宋体" w:hAnsi="宋体" w:eastAsia="宋体" w:cs="宋体"/>
          <w:color w:val="auto"/>
          <w:sz w:val="24"/>
          <w:szCs w:val="24"/>
          <w:highlight w:val="none"/>
          <w:u w:val="single"/>
        </w:rPr>
        <w:t>要求更换指定时令花卉每年不少于4次（具体更换次数详</w:t>
      </w:r>
      <w:r>
        <w:rPr>
          <w:rFonts w:hint="eastAsia" w:ascii="宋体" w:hAnsi="宋体" w:eastAsia="宋体" w:cs="宋体"/>
          <w:color w:val="auto"/>
          <w:sz w:val="24"/>
          <w:szCs w:val="24"/>
          <w:highlight w:val="none"/>
          <w:u w:val="single"/>
          <w:lang w:val="en-US" w:eastAsia="zh-CN"/>
        </w:rPr>
        <w:t>情</w:t>
      </w:r>
      <w:r>
        <w:rPr>
          <w:rFonts w:hint="eastAsia" w:ascii="宋体" w:hAnsi="宋体" w:eastAsia="宋体" w:cs="宋体"/>
          <w:color w:val="auto"/>
          <w:sz w:val="24"/>
          <w:szCs w:val="24"/>
          <w:highlight w:val="none"/>
          <w:u w:val="single"/>
        </w:rPr>
        <w:t>按招标清单中要求执行）,经</w:t>
      </w:r>
      <w:r>
        <w:rPr>
          <w:rFonts w:hint="eastAsia" w:ascii="宋体" w:hAnsi="宋体" w:eastAsia="宋体" w:cs="宋体"/>
          <w:color w:val="auto"/>
          <w:sz w:val="24"/>
          <w:szCs w:val="24"/>
          <w:highlight w:val="none"/>
          <w:u w:val="single"/>
          <w:lang w:val="en-US" w:eastAsia="zh-CN"/>
        </w:rPr>
        <w:t>甲方</w:t>
      </w:r>
      <w:r>
        <w:rPr>
          <w:rFonts w:hint="eastAsia" w:ascii="宋体" w:hAnsi="宋体" w:eastAsia="宋体" w:cs="宋体"/>
          <w:color w:val="auto"/>
          <w:sz w:val="24"/>
          <w:szCs w:val="24"/>
          <w:highlight w:val="none"/>
          <w:u w:val="single"/>
        </w:rPr>
        <w:t>同意后实施，时令花卉每次更换根据花卉长势，分段分批更换，每个地点更换空置期控制在2日内</w:t>
      </w:r>
      <w:r>
        <w:rPr>
          <w:rFonts w:hint="eastAsia" w:ascii="宋体" w:hAnsi="宋体" w:eastAsia="宋体" w:cs="宋体"/>
          <w:color w:val="auto"/>
          <w:sz w:val="24"/>
          <w:szCs w:val="24"/>
          <w:highlight w:val="none"/>
        </w:rPr>
        <w:t>。</w:t>
      </w:r>
    </w:p>
    <w:p w14:paraId="2FE7390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2、具体服务执行要求</w:t>
      </w:r>
      <w:r>
        <w:rPr>
          <w:rFonts w:hint="eastAsia" w:ascii="宋体" w:hAnsi="宋体" w:eastAsia="宋体" w:cs="宋体"/>
          <w:color w:val="auto"/>
          <w:sz w:val="24"/>
          <w:szCs w:val="24"/>
          <w:highlight w:val="none"/>
        </w:rPr>
        <w:t>详见</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w:t>
      </w:r>
    </w:p>
    <w:p w14:paraId="56249D02">
      <w:pPr>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第二条 合同总价款</w:t>
      </w:r>
    </w:p>
    <w:p w14:paraId="4122ADDE">
      <w:pPr>
        <w:pStyle w:val="23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本合同金额为人民币（大写）：_________________ （￥__________ ）。合同价格形式：</w:t>
      </w:r>
      <w:r>
        <w:rPr>
          <w:rFonts w:hint="eastAsia" w:ascii="宋体" w:hAnsi="宋体" w:eastAsia="宋体" w:cs="宋体"/>
          <w:color w:val="auto"/>
          <w:sz w:val="24"/>
          <w:szCs w:val="24"/>
          <w:highlight w:val="none"/>
          <w:u w:val="single"/>
        </w:rPr>
        <w:t>固定</w:t>
      </w:r>
      <w:r>
        <w:rPr>
          <w:rFonts w:hint="eastAsia" w:hAnsi="宋体" w:cs="宋体"/>
          <w:color w:val="auto"/>
          <w:sz w:val="24"/>
          <w:szCs w:val="24"/>
          <w:highlight w:val="none"/>
          <w:u w:val="single"/>
          <w:lang w:val="en-US" w:eastAsia="zh-CN"/>
        </w:rPr>
        <w:t>全费用综合</w:t>
      </w:r>
      <w:r>
        <w:rPr>
          <w:rFonts w:hint="eastAsia" w:ascii="宋体" w:hAnsi="宋体" w:eastAsia="宋体" w:cs="宋体"/>
          <w:color w:val="auto"/>
          <w:sz w:val="24"/>
          <w:szCs w:val="24"/>
          <w:highlight w:val="none"/>
          <w:u w:val="single"/>
        </w:rPr>
        <w:t>单价</w:t>
      </w:r>
      <w:r>
        <w:rPr>
          <w:rFonts w:hint="eastAsia" w:ascii="宋体" w:hAnsi="宋体" w:eastAsia="宋体" w:cs="宋体"/>
          <w:color w:val="auto"/>
          <w:sz w:val="24"/>
          <w:szCs w:val="24"/>
          <w:highlight w:val="none"/>
        </w:rPr>
        <w:t>。</w:t>
      </w:r>
    </w:p>
    <w:p w14:paraId="7D5385C3">
      <w:pPr>
        <w:pStyle w:val="23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本合同价款包含所有乙方提供合同约定产品和服务的报酬及乙方提供合同中产品和服务所支出的必要费用，甲方在上述合同价款之外不再向乙方支付其他任何费用。</w:t>
      </w:r>
    </w:p>
    <w:p w14:paraId="6428E246">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乙方委派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作为本项目的项目负责人，全权负责处理项目实施过程中的一切事务。</w:t>
      </w:r>
    </w:p>
    <w:p w14:paraId="1006CC1C">
      <w:pPr>
        <w:spacing w:line="360" w:lineRule="auto"/>
        <w:ind w:firstLine="42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第三条 组成本合同的有关文件</w:t>
      </w:r>
      <w:r>
        <w:rPr>
          <w:rFonts w:hint="eastAsia" w:ascii="宋体" w:hAnsi="宋体" w:eastAsia="宋体" w:cs="宋体"/>
          <w:color w:val="auto"/>
          <w:sz w:val="24"/>
          <w:szCs w:val="24"/>
          <w:highlight w:val="none"/>
        </w:rPr>
        <w:t xml:space="preserve">  </w:t>
      </w:r>
    </w:p>
    <w:p w14:paraId="4F9D460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下列关于</w:t>
      </w:r>
      <w:r>
        <w:rPr>
          <w:rFonts w:hint="eastAsia" w:ascii="宋体" w:hAnsi="宋体" w:eastAsia="宋体" w:cs="宋体"/>
          <w:bCs/>
          <w:strike w:val="0"/>
          <w:dstrike w:val="0"/>
          <w:color w:val="auto"/>
          <w:sz w:val="24"/>
          <w:szCs w:val="24"/>
          <w:highlight w:val="none"/>
          <w:u w:val="single"/>
          <w:lang w:eastAsia="zh-CN"/>
        </w:rPr>
        <w:t>JSZC-320</w:t>
      </w:r>
      <w:r>
        <w:rPr>
          <w:rFonts w:hint="eastAsia" w:ascii="宋体" w:hAnsi="宋体" w:cs="宋体"/>
          <w:bCs/>
          <w:strike w:val="0"/>
          <w:dstrike w:val="0"/>
          <w:color w:val="auto"/>
          <w:sz w:val="24"/>
          <w:szCs w:val="24"/>
          <w:highlight w:val="none"/>
          <w:u w:val="single"/>
          <w:lang w:val="en-US" w:eastAsia="zh-CN"/>
        </w:rPr>
        <w:t>9</w:t>
      </w:r>
      <w:r>
        <w:rPr>
          <w:rFonts w:hint="eastAsia" w:ascii="宋体" w:hAnsi="宋体" w:eastAsia="宋体" w:cs="宋体"/>
          <w:bCs/>
          <w:strike w:val="0"/>
          <w:dstrike w:val="0"/>
          <w:color w:val="auto"/>
          <w:sz w:val="24"/>
          <w:szCs w:val="24"/>
          <w:highlight w:val="none"/>
          <w:u w:val="single"/>
          <w:lang w:eastAsia="zh-CN"/>
        </w:rPr>
        <w:t>00-</w:t>
      </w:r>
      <w:r>
        <w:rPr>
          <w:rFonts w:hint="eastAsia" w:ascii="宋体" w:hAnsi="宋体" w:cs="宋体"/>
          <w:bCs/>
          <w:strike w:val="0"/>
          <w:dstrike w:val="0"/>
          <w:color w:val="auto"/>
          <w:sz w:val="24"/>
          <w:szCs w:val="24"/>
          <w:highlight w:val="none"/>
          <w:u w:val="single"/>
          <w:lang w:val="en-US" w:eastAsia="zh-CN"/>
        </w:rPr>
        <w:t>JSJA-G2025-0008</w:t>
      </w:r>
      <w:r>
        <w:rPr>
          <w:rFonts w:hint="eastAsia" w:ascii="宋体" w:hAnsi="宋体" w:eastAsia="宋体" w:cs="宋体"/>
          <w:color w:val="auto"/>
          <w:sz w:val="24"/>
          <w:szCs w:val="24"/>
          <w:highlight w:val="none"/>
          <w:u w:val="single"/>
        </w:rPr>
        <w:t>号</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rPr>
        <w:t>公开招标</w:t>
      </w:r>
      <w:r>
        <w:rPr>
          <w:rFonts w:hint="eastAsia" w:ascii="宋体" w:hAnsi="宋体" w:eastAsia="宋体" w:cs="宋体"/>
          <w:color w:val="auto"/>
          <w:sz w:val="24"/>
          <w:szCs w:val="24"/>
          <w:highlight w:val="none"/>
        </w:rPr>
        <w:t>文件、响应文件，或与本次采购活动方式相适应的文件，以及有关附件是本合同不可分割的组成部分，与本合同具有同等法律效力，这些文件包括但不限于：</w:t>
      </w:r>
    </w:p>
    <w:p w14:paraId="6356E855">
      <w:pPr>
        <w:spacing w:line="360" w:lineRule="auto"/>
        <w:ind w:firstLine="422"/>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(1)合同;</w:t>
      </w:r>
    </w:p>
    <w:p w14:paraId="6BB945E6">
      <w:pPr>
        <w:spacing w:line="360" w:lineRule="auto"/>
        <w:ind w:firstLine="422"/>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(2)成交通知书；</w:t>
      </w:r>
    </w:p>
    <w:p w14:paraId="2FDDF134">
      <w:pPr>
        <w:spacing w:line="360" w:lineRule="auto"/>
        <w:ind w:firstLine="422"/>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(3)乙方提供的响应文件；</w:t>
      </w:r>
    </w:p>
    <w:p w14:paraId="5FFF3F9A">
      <w:pPr>
        <w:spacing w:line="360" w:lineRule="auto"/>
        <w:ind w:firstLine="422"/>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(4)标准、规范及有关技术文件；</w:t>
      </w:r>
    </w:p>
    <w:p w14:paraId="438DBEF4">
      <w:pPr>
        <w:spacing w:line="360" w:lineRule="auto"/>
        <w:ind w:firstLine="422"/>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(5)</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rPr>
        <w:t>委托编制的预算书；</w:t>
      </w:r>
    </w:p>
    <w:p w14:paraId="5F4C94E9">
      <w:pPr>
        <w:spacing w:line="360" w:lineRule="auto"/>
        <w:ind w:firstLine="422"/>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(6)本项目的招标文件及招标答疑文件；</w:t>
      </w:r>
    </w:p>
    <w:p w14:paraId="2FAFA127">
      <w:pPr>
        <w:numPr>
          <w:ilvl w:val="0"/>
          <w:numId w:val="6"/>
        </w:numPr>
        <w:spacing w:line="360" w:lineRule="auto"/>
        <w:ind w:firstLine="422"/>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甲乙双方商定的其他文件等。</w:t>
      </w:r>
    </w:p>
    <w:p w14:paraId="0641444E">
      <w:pPr>
        <w:numPr>
          <w:ilvl w:val="0"/>
          <w:numId w:val="0"/>
        </w:numPr>
        <w:spacing w:line="360" w:lineRule="auto"/>
        <w:ind w:firstLine="482" w:firstLineChars="200"/>
        <w:jc w:val="lef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第四条 </w:t>
      </w:r>
      <w:r>
        <w:rPr>
          <w:rFonts w:hint="eastAsia" w:ascii="宋体" w:hAnsi="宋体" w:cs="宋体"/>
          <w:b/>
          <w:bCs/>
          <w:color w:val="auto"/>
          <w:sz w:val="24"/>
          <w:szCs w:val="24"/>
          <w:highlight w:val="none"/>
          <w:lang w:val="en-US" w:eastAsia="zh-CN"/>
        </w:rPr>
        <w:t>双方的权利和义务</w:t>
      </w:r>
    </w:p>
    <w:p w14:paraId="39F521F9">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1、</w:t>
      </w:r>
      <w:r>
        <w:rPr>
          <w:rFonts w:hint="eastAsia" w:ascii="宋体" w:hAnsi="宋体" w:eastAsia="宋体" w:cs="宋体"/>
          <w:color w:val="auto"/>
          <w:sz w:val="24"/>
          <w:szCs w:val="21"/>
          <w:highlight w:val="none"/>
          <w:lang w:val="en-US" w:eastAsia="zh-CN"/>
        </w:rPr>
        <w:t>甲方</w:t>
      </w:r>
      <w:r>
        <w:rPr>
          <w:rFonts w:hint="eastAsia" w:ascii="宋体" w:hAnsi="宋体" w:eastAsia="宋体" w:cs="宋体"/>
          <w:color w:val="auto"/>
          <w:sz w:val="24"/>
          <w:szCs w:val="21"/>
          <w:highlight w:val="none"/>
          <w:lang w:eastAsia="zh-CN"/>
        </w:rPr>
        <w:t>主要义务</w:t>
      </w:r>
    </w:p>
    <w:p w14:paraId="0A2DD1D6">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(1)提供与本项目相关的设计文件及相关资料。</w:t>
      </w:r>
    </w:p>
    <w:p w14:paraId="33BE5261">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lang w:val="en-US" w:eastAsia="zh-CN"/>
        </w:rPr>
        <w:t>2</w:t>
      </w:r>
      <w:r>
        <w:rPr>
          <w:rFonts w:hint="eastAsia" w:ascii="宋体" w:hAnsi="宋体" w:eastAsia="宋体" w:cs="宋体"/>
          <w:color w:val="auto"/>
          <w:sz w:val="24"/>
          <w:szCs w:val="21"/>
          <w:highlight w:val="none"/>
          <w:lang w:eastAsia="zh-CN"/>
        </w:rPr>
        <w:t>)检查和监督</w:t>
      </w:r>
      <w:r>
        <w:rPr>
          <w:rFonts w:hint="eastAsia" w:ascii="宋体" w:hAnsi="宋体" w:eastAsia="宋体" w:cs="宋体"/>
          <w:color w:val="auto"/>
          <w:sz w:val="24"/>
          <w:szCs w:val="21"/>
          <w:highlight w:val="none"/>
          <w:lang w:val="en-US" w:eastAsia="zh-CN"/>
        </w:rPr>
        <w:t>乙方</w:t>
      </w:r>
      <w:r>
        <w:rPr>
          <w:rFonts w:hint="eastAsia" w:ascii="宋体" w:hAnsi="宋体" w:eastAsia="宋体" w:cs="宋体"/>
          <w:color w:val="auto"/>
          <w:sz w:val="24"/>
          <w:szCs w:val="21"/>
          <w:highlight w:val="none"/>
          <w:lang w:eastAsia="zh-CN"/>
        </w:rPr>
        <w:t>的项目管理、质量、进度以及安全生产和环境保护工作。</w:t>
      </w:r>
    </w:p>
    <w:p w14:paraId="7C7A494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lang w:val="en-US" w:eastAsia="zh-CN"/>
        </w:rPr>
        <w:t>3</w:t>
      </w:r>
      <w:r>
        <w:rPr>
          <w:rFonts w:hint="eastAsia" w:ascii="宋体" w:hAnsi="宋体" w:eastAsia="宋体" w:cs="宋体"/>
          <w:color w:val="auto"/>
          <w:sz w:val="24"/>
          <w:szCs w:val="21"/>
          <w:highlight w:val="none"/>
          <w:lang w:eastAsia="zh-CN"/>
        </w:rPr>
        <w:t>)按时支付合同款。</w:t>
      </w:r>
    </w:p>
    <w:p w14:paraId="1D1F1E1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lang w:val="en-US" w:eastAsia="zh-CN"/>
        </w:rPr>
        <w:t>4</w:t>
      </w:r>
      <w:r>
        <w:rPr>
          <w:rFonts w:hint="eastAsia" w:ascii="宋体" w:hAnsi="宋体" w:eastAsia="宋体" w:cs="宋体"/>
          <w:color w:val="auto"/>
          <w:sz w:val="24"/>
          <w:szCs w:val="21"/>
          <w:highlight w:val="none"/>
          <w:lang w:eastAsia="zh-CN"/>
        </w:rPr>
        <w:t>)依据相关养护行业标准组织养护过程检查及验收。</w:t>
      </w:r>
    </w:p>
    <w:p w14:paraId="27FEEAC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lang w:val="en-US" w:eastAsia="zh-CN"/>
        </w:rPr>
        <w:t>5</w:t>
      </w:r>
      <w:r>
        <w:rPr>
          <w:rFonts w:hint="eastAsia" w:ascii="宋体" w:hAnsi="宋体" w:eastAsia="宋体" w:cs="宋体"/>
          <w:color w:val="auto"/>
          <w:sz w:val="24"/>
          <w:szCs w:val="21"/>
          <w:highlight w:val="none"/>
          <w:lang w:eastAsia="zh-CN"/>
        </w:rPr>
        <w:t>)双方约定</w:t>
      </w:r>
      <w:r>
        <w:rPr>
          <w:rFonts w:hint="eastAsia" w:ascii="宋体" w:hAnsi="宋体" w:eastAsia="宋体" w:cs="宋体"/>
          <w:color w:val="auto"/>
          <w:sz w:val="24"/>
          <w:szCs w:val="21"/>
          <w:highlight w:val="none"/>
          <w:lang w:val="en-US" w:eastAsia="zh-CN"/>
        </w:rPr>
        <w:t>甲方</w:t>
      </w:r>
      <w:r>
        <w:rPr>
          <w:rFonts w:hint="eastAsia" w:ascii="宋体" w:hAnsi="宋体" w:eastAsia="宋体" w:cs="宋体"/>
          <w:color w:val="auto"/>
          <w:sz w:val="24"/>
          <w:szCs w:val="21"/>
          <w:highlight w:val="none"/>
          <w:lang w:eastAsia="zh-CN"/>
        </w:rPr>
        <w:t>应做的其他工作。</w:t>
      </w:r>
    </w:p>
    <w:p w14:paraId="458A532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2、</w:t>
      </w:r>
      <w:r>
        <w:rPr>
          <w:rFonts w:hint="eastAsia" w:ascii="宋体" w:hAnsi="宋体" w:eastAsia="宋体" w:cs="宋体"/>
          <w:color w:val="auto"/>
          <w:sz w:val="24"/>
          <w:szCs w:val="21"/>
          <w:highlight w:val="none"/>
          <w:lang w:val="en-US" w:eastAsia="zh-CN"/>
        </w:rPr>
        <w:t>乙方</w:t>
      </w:r>
      <w:r>
        <w:rPr>
          <w:rFonts w:hint="eastAsia" w:ascii="宋体" w:hAnsi="宋体" w:eastAsia="宋体" w:cs="宋体"/>
          <w:color w:val="auto"/>
          <w:sz w:val="24"/>
          <w:szCs w:val="21"/>
          <w:highlight w:val="none"/>
          <w:lang w:eastAsia="zh-CN"/>
        </w:rPr>
        <w:t>主要义务</w:t>
      </w:r>
    </w:p>
    <w:p w14:paraId="72D2601A">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(1)按照采购文件的技术规范以及</w:t>
      </w:r>
      <w:r>
        <w:rPr>
          <w:rFonts w:hint="eastAsia" w:ascii="宋体" w:hAnsi="宋体" w:eastAsia="宋体" w:cs="宋体"/>
          <w:color w:val="auto"/>
          <w:sz w:val="24"/>
          <w:szCs w:val="21"/>
          <w:highlight w:val="none"/>
          <w:lang w:val="en-US" w:eastAsia="zh-CN"/>
        </w:rPr>
        <w:t>甲方</w:t>
      </w:r>
      <w:r>
        <w:rPr>
          <w:rFonts w:hint="eastAsia" w:ascii="宋体" w:hAnsi="宋体" w:eastAsia="宋体" w:cs="宋体"/>
          <w:color w:val="auto"/>
          <w:sz w:val="24"/>
          <w:szCs w:val="21"/>
          <w:highlight w:val="none"/>
          <w:lang w:eastAsia="zh-CN"/>
        </w:rPr>
        <w:t>或其代表的要求，完成本项目合同范围内的养护管理工作,向</w:t>
      </w:r>
      <w:r>
        <w:rPr>
          <w:rFonts w:hint="eastAsia" w:ascii="宋体" w:hAnsi="宋体" w:eastAsia="宋体" w:cs="宋体"/>
          <w:color w:val="auto"/>
          <w:sz w:val="24"/>
          <w:szCs w:val="21"/>
          <w:highlight w:val="none"/>
          <w:lang w:val="en-US" w:eastAsia="zh-CN"/>
        </w:rPr>
        <w:t>甲方</w:t>
      </w:r>
      <w:r>
        <w:rPr>
          <w:rFonts w:hint="eastAsia" w:ascii="宋体" w:hAnsi="宋体" w:eastAsia="宋体" w:cs="宋体"/>
          <w:color w:val="auto"/>
          <w:sz w:val="24"/>
          <w:szCs w:val="21"/>
          <w:highlight w:val="none"/>
          <w:lang w:eastAsia="zh-CN"/>
        </w:rPr>
        <w:t>或其代表提供</w:t>
      </w:r>
      <w:r>
        <w:rPr>
          <w:rFonts w:hint="eastAsia" w:ascii="宋体" w:hAnsi="宋体" w:cs="宋体"/>
          <w:color w:val="auto"/>
          <w:sz w:val="24"/>
          <w:szCs w:val="21"/>
          <w:highlight w:val="none"/>
          <w:lang w:val="en-US" w:eastAsia="zh-CN"/>
        </w:rPr>
        <w:t>布置</w:t>
      </w:r>
      <w:r>
        <w:rPr>
          <w:rFonts w:hint="eastAsia" w:ascii="宋体" w:hAnsi="宋体" w:eastAsia="宋体" w:cs="宋体"/>
          <w:color w:val="auto"/>
          <w:sz w:val="24"/>
          <w:szCs w:val="21"/>
          <w:highlight w:val="none"/>
          <w:lang w:eastAsia="zh-CN"/>
        </w:rPr>
        <w:t>计划等资料。</w:t>
      </w:r>
    </w:p>
    <w:p w14:paraId="78689948">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w:t>
      </w:r>
      <w:r>
        <w:rPr>
          <w:rFonts w:hint="eastAsia" w:ascii="宋体" w:hAnsi="宋体" w:cs="宋体"/>
          <w:color w:val="auto"/>
          <w:sz w:val="24"/>
          <w:szCs w:val="21"/>
          <w:highlight w:val="none"/>
          <w:lang w:val="en-US" w:eastAsia="zh-CN"/>
        </w:rPr>
        <w:t>2</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lang w:val="en-US" w:eastAsia="zh-CN"/>
        </w:rPr>
        <w:t>乙方</w:t>
      </w:r>
      <w:r>
        <w:rPr>
          <w:rFonts w:hint="eastAsia" w:ascii="宋体" w:hAnsi="宋体" w:eastAsia="宋体" w:cs="宋体"/>
          <w:color w:val="auto"/>
          <w:sz w:val="24"/>
          <w:szCs w:val="21"/>
          <w:highlight w:val="none"/>
          <w:lang w:eastAsia="zh-CN"/>
        </w:rPr>
        <w:t>需办理项目所需有关证件和批件，并协调交警、路政及地方等关系，为此所发生的相关费用不单独计量与支付，包含在合同价款中。</w:t>
      </w:r>
    </w:p>
    <w:p w14:paraId="5EAC9081">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w:t>
      </w:r>
      <w:r>
        <w:rPr>
          <w:rFonts w:hint="eastAsia" w:ascii="宋体" w:hAnsi="宋体" w:cs="宋体"/>
          <w:color w:val="auto"/>
          <w:sz w:val="24"/>
          <w:szCs w:val="21"/>
          <w:highlight w:val="none"/>
          <w:lang w:val="en-US" w:eastAsia="zh-CN"/>
        </w:rPr>
        <w:t>3</w:t>
      </w:r>
      <w:r>
        <w:rPr>
          <w:rFonts w:hint="eastAsia" w:ascii="宋体" w:hAnsi="宋体" w:eastAsia="宋体" w:cs="宋体"/>
          <w:color w:val="auto"/>
          <w:sz w:val="24"/>
          <w:szCs w:val="21"/>
          <w:highlight w:val="none"/>
          <w:lang w:eastAsia="zh-CN"/>
        </w:rPr>
        <w:t>)养护期间服从</w:t>
      </w:r>
      <w:r>
        <w:rPr>
          <w:rFonts w:hint="eastAsia" w:ascii="宋体" w:hAnsi="宋体" w:eastAsia="宋体" w:cs="宋体"/>
          <w:color w:val="auto"/>
          <w:sz w:val="24"/>
          <w:szCs w:val="21"/>
          <w:highlight w:val="none"/>
          <w:lang w:val="en-US" w:eastAsia="zh-CN"/>
        </w:rPr>
        <w:t>甲方</w:t>
      </w:r>
      <w:r>
        <w:rPr>
          <w:rFonts w:hint="eastAsia" w:ascii="宋体" w:hAnsi="宋体" w:eastAsia="宋体" w:cs="宋体"/>
          <w:color w:val="auto"/>
          <w:sz w:val="24"/>
          <w:szCs w:val="21"/>
          <w:highlight w:val="none"/>
          <w:lang w:eastAsia="zh-CN"/>
        </w:rPr>
        <w:t>或其代表的现场管理、监督、检查和验收，采取切实可行的措施，确保按期完成</w:t>
      </w:r>
      <w:r>
        <w:rPr>
          <w:rFonts w:hint="eastAsia" w:ascii="宋体" w:hAnsi="宋体" w:eastAsia="宋体" w:cs="宋体"/>
          <w:color w:val="auto"/>
          <w:sz w:val="24"/>
          <w:szCs w:val="21"/>
          <w:highlight w:val="none"/>
          <w:lang w:val="en-US" w:eastAsia="zh-CN"/>
        </w:rPr>
        <w:t>甲方</w:t>
      </w:r>
      <w:r>
        <w:rPr>
          <w:rFonts w:hint="eastAsia" w:ascii="宋体" w:hAnsi="宋体" w:eastAsia="宋体" w:cs="宋体"/>
          <w:color w:val="auto"/>
          <w:sz w:val="24"/>
          <w:szCs w:val="21"/>
          <w:highlight w:val="none"/>
          <w:lang w:eastAsia="zh-CN"/>
        </w:rPr>
        <w:t>委托的养护任务，并保证达到</w:t>
      </w:r>
      <w:r>
        <w:rPr>
          <w:rFonts w:hint="eastAsia" w:ascii="宋体" w:hAnsi="宋体" w:eastAsia="宋体" w:cs="宋体"/>
          <w:color w:val="auto"/>
          <w:sz w:val="24"/>
          <w:szCs w:val="21"/>
          <w:highlight w:val="none"/>
          <w:lang w:val="en-US" w:eastAsia="zh-CN"/>
        </w:rPr>
        <w:t>甲方</w:t>
      </w:r>
      <w:r>
        <w:rPr>
          <w:rFonts w:hint="eastAsia" w:ascii="宋体" w:hAnsi="宋体" w:eastAsia="宋体" w:cs="宋体"/>
          <w:color w:val="auto"/>
          <w:sz w:val="24"/>
          <w:szCs w:val="21"/>
          <w:highlight w:val="none"/>
          <w:lang w:eastAsia="zh-CN"/>
        </w:rPr>
        <w:t>要求的质量</w:t>
      </w:r>
      <w:r>
        <w:rPr>
          <w:rFonts w:hint="eastAsia" w:ascii="宋体" w:hAnsi="宋体" w:eastAsia="宋体" w:cs="宋体"/>
          <w:color w:val="auto"/>
          <w:sz w:val="24"/>
          <w:szCs w:val="21"/>
          <w:highlight w:val="none"/>
          <w:lang w:val="en-US" w:eastAsia="zh-CN"/>
        </w:rPr>
        <w:t>等</w:t>
      </w:r>
      <w:r>
        <w:rPr>
          <w:rFonts w:hint="eastAsia" w:ascii="宋体" w:hAnsi="宋体" w:eastAsia="宋体" w:cs="宋体"/>
          <w:color w:val="auto"/>
          <w:sz w:val="24"/>
          <w:szCs w:val="21"/>
          <w:highlight w:val="none"/>
          <w:lang w:eastAsia="zh-CN"/>
        </w:rPr>
        <w:t>级</w:t>
      </w:r>
      <w:r>
        <w:rPr>
          <w:rFonts w:hint="eastAsia" w:ascii="宋体" w:hAnsi="宋体" w:cs="宋体"/>
          <w:color w:val="auto"/>
          <w:sz w:val="24"/>
          <w:szCs w:val="21"/>
          <w:highlight w:val="none"/>
          <w:lang w:eastAsia="zh-CN"/>
        </w:rPr>
        <w:t>。</w:t>
      </w:r>
    </w:p>
    <w:p w14:paraId="5D1D7718">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w:t>
      </w:r>
      <w:r>
        <w:rPr>
          <w:rFonts w:hint="eastAsia" w:ascii="宋体" w:hAnsi="宋体" w:cs="宋体"/>
          <w:color w:val="auto"/>
          <w:sz w:val="24"/>
          <w:szCs w:val="21"/>
          <w:highlight w:val="none"/>
          <w:lang w:val="en-US" w:eastAsia="zh-CN"/>
        </w:rPr>
        <w:t>4</w:t>
      </w:r>
      <w:r>
        <w:rPr>
          <w:rFonts w:hint="eastAsia" w:ascii="宋体" w:hAnsi="宋体" w:eastAsia="宋体" w:cs="宋体"/>
          <w:color w:val="auto"/>
          <w:sz w:val="24"/>
          <w:szCs w:val="21"/>
          <w:highlight w:val="none"/>
          <w:lang w:eastAsia="zh-CN"/>
        </w:rPr>
        <w:t>)加强养护巡查，做好巡查记录，及时进行维护，对巡查发现的重大问题及时通报甲方，并采取相应有关措施。</w:t>
      </w:r>
    </w:p>
    <w:p w14:paraId="7B37AD53">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w:t>
      </w:r>
      <w:r>
        <w:rPr>
          <w:rFonts w:hint="eastAsia" w:ascii="宋体" w:hAnsi="宋体" w:cs="宋体"/>
          <w:color w:val="auto"/>
          <w:sz w:val="24"/>
          <w:szCs w:val="21"/>
          <w:highlight w:val="none"/>
          <w:lang w:val="en-US" w:eastAsia="zh-CN"/>
        </w:rPr>
        <w:t>5</w:t>
      </w:r>
      <w:r>
        <w:rPr>
          <w:rFonts w:hint="eastAsia" w:ascii="宋体" w:hAnsi="宋体" w:eastAsia="宋体" w:cs="宋体"/>
          <w:color w:val="auto"/>
          <w:sz w:val="24"/>
          <w:szCs w:val="21"/>
          <w:highlight w:val="none"/>
          <w:lang w:eastAsia="zh-CN"/>
        </w:rPr>
        <w:t>)乙方应有完备的原材料及</w:t>
      </w:r>
      <w:r>
        <w:rPr>
          <w:rFonts w:hint="eastAsia" w:ascii="宋体" w:hAnsi="宋体" w:cs="宋体"/>
          <w:color w:val="auto"/>
          <w:sz w:val="24"/>
          <w:szCs w:val="21"/>
          <w:highlight w:val="none"/>
          <w:lang w:val="en-US" w:eastAsia="zh-CN"/>
        </w:rPr>
        <w:t>项目</w:t>
      </w:r>
      <w:r>
        <w:rPr>
          <w:rFonts w:hint="eastAsia" w:ascii="宋体" w:hAnsi="宋体" w:eastAsia="宋体" w:cs="宋体"/>
          <w:color w:val="auto"/>
          <w:sz w:val="24"/>
          <w:szCs w:val="21"/>
          <w:highlight w:val="none"/>
          <w:lang w:eastAsia="zh-CN"/>
        </w:rPr>
        <w:t>自检资料，</w:t>
      </w:r>
      <w:r>
        <w:rPr>
          <w:rFonts w:hint="eastAsia" w:ascii="宋体" w:hAnsi="宋体" w:cs="宋体"/>
          <w:color w:val="auto"/>
          <w:sz w:val="24"/>
          <w:szCs w:val="21"/>
          <w:highlight w:val="none"/>
          <w:lang w:val="en-US" w:eastAsia="zh-CN"/>
        </w:rPr>
        <w:t>项目</w:t>
      </w:r>
      <w:r>
        <w:rPr>
          <w:rFonts w:hint="eastAsia" w:ascii="宋体" w:hAnsi="宋体" w:eastAsia="宋体" w:cs="宋体"/>
          <w:color w:val="auto"/>
          <w:sz w:val="24"/>
          <w:szCs w:val="21"/>
          <w:highlight w:val="none"/>
          <w:lang w:eastAsia="zh-CN"/>
        </w:rPr>
        <w:t>相关资料及时报甲方或其代表审核。工作结束后按甲方要求提交相关的</w:t>
      </w:r>
      <w:r>
        <w:rPr>
          <w:rFonts w:hint="eastAsia" w:ascii="宋体" w:hAnsi="宋体" w:cs="宋体"/>
          <w:color w:val="auto"/>
          <w:sz w:val="24"/>
          <w:szCs w:val="21"/>
          <w:highlight w:val="none"/>
          <w:lang w:val="en-US" w:eastAsia="zh-CN"/>
        </w:rPr>
        <w:t>项目</w:t>
      </w:r>
      <w:r>
        <w:rPr>
          <w:rFonts w:hint="eastAsia" w:ascii="宋体" w:hAnsi="宋体" w:eastAsia="宋体" w:cs="宋体"/>
          <w:color w:val="auto"/>
          <w:sz w:val="24"/>
          <w:szCs w:val="21"/>
          <w:highlight w:val="none"/>
          <w:lang w:eastAsia="zh-CN"/>
        </w:rPr>
        <w:t>资料及相应的电子文档一份，并配合甲方进行验收。</w:t>
      </w:r>
    </w:p>
    <w:p w14:paraId="3D3F919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cs="宋体"/>
          <w:color w:val="auto"/>
          <w:sz w:val="24"/>
          <w:szCs w:val="21"/>
          <w:highlight w:val="none"/>
          <w:lang w:eastAsia="zh-CN"/>
        </w:rPr>
        <w:t>（</w:t>
      </w:r>
      <w:r>
        <w:rPr>
          <w:rFonts w:hint="eastAsia" w:ascii="宋体" w:hAnsi="宋体" w:cs="宋体"/>
          <w:color w:val="auto"/>
          <w:sz w:val="24"/>
          <w:szCs w:val="21"/>
          <w:highlight w:val="none"/>
          <w:lang w:val="en-US" w:eastAsia="zh-CN"/>
        </w:rPr>
        <w:t>6）</w:t>
      </w:r>
      <w:r>
        <w:rPr>
          <w:rFonts w:hint="eastAsia" w:ascii="宋体" w:hAnsi="宋体" w:eastAsia="宋体" w:cs="宋体"/>
          <w:color w:val="auto"/>
          <w:sz w:val="24"/>
          <w:szCs w:val="21"/>
          <w:highlight w:val="none"/>
          <w:lang w:eastAsia="zh-CN"/>
        </w:rPr>
        <w:t>乙方上路作业应按规定办理相关手续，并服从公安、路政部门的管理，按相关要求摆放标志标牌等，作业人员须穿着统一的安全标志服在作业区内作业，严禁随意穿越车道；在作业区内的车辆和设备应按要求设置安全标志，并开启黄色警示灯和双跳灯；白天滞留在公路上的养护车辆及设备应整齐地停放，不得侵占行车道，并按规定设置相应的警示和隔离标志。</w:t>
      </w:r>
    </w:p>
    <w:p w14:paraId="5ABD334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乙方在项目实施过程中发生的任何交通、生产事故造成财产损失或人员伤亡，以及与其他第三方发生的任何纠纷或事故，甲方概不承担任何责任和费用。</w:t>
      </w:r>
    </w:p>
    <w:p w14:paraId="5EDF31F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w:t>
      </w:r>
      <w:r>
        <w:rPr>
          <w:rFonts w:hint="eastAsia" w:ascii="宋体" w:hAnsi="宋体" w:cs="宋体"/>
          <w:color w:val="auto"/>
          <w:sz w:val="24"/>
          <w:szCs w:val="21"/>
          <w:highlight w:val="none"/>
          <w:lang w:val="en-US" w:eastAsia="zh-CN"/>
        </w:rPr>
        <w:t>7</w:t>
      </w:r>
      <w:r>
        <w:rPr>
          <w:rFonts w:hint="eastAsia" w:ascii="宋体" w:hAnsi="宋体" w:eastAsia="宋体" w:cs="宋体"/>
          <w:color w:val="auto"/>
          <w:sz w:val="24"/>
          <w:szCs w:val="21"/>
          <w:highlight w:val="none"/>
          <w:lang w:eastAsia="zh-CN"/>
        </w:rPr>
        <w:t>)遵守地方政府和有关部门对场地交通和噪音等管理规定，否则将承担由此造成的有关部门的处罚。</w:t>
      </w:r>
    </w:p>
    <w:p w14:paraId="6CBE1890">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乙方负责项目现场的环境保护工作，保证现场环境符合有关规定，加强对作业人员的环境保护意识教育。任何作业及生活垃圾必须妥善处理，不得抛洒在道路用地界内，在作业过程中应加强设备和材料的管理，不得抛、洒、滴、漏污染路面，否则将承担相关部门的经济处罚。</w:t>
      </w:r>
    </w:p>
    <w:p w14:paraId="59EE12C1">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w:t>
      </w:r>
      <w:r>
        <w:rPr>
          <w:rFonts w:hint="eastAsia" w:ascii="宋体" w:hAnsi="宋体" w:cs="宋体"/>
          <w:color w:val="auto"/>
          <w:sz w:val="24"/>
          <w:szCs w:val="21"/>
          <w:highlight w:val="none"/>
          <w:lang w:val="en-US" w:eastAsia="zh-CN"/>
        </w:rPr>
        <w:t>8</w:t>
      </w:r>
      <w:r>
        <w:rPr>
          <w:rFonts w:hint="eastAsia" w:ascii="宋体" w:hAnsi="宋体" w:eastAsia="宋体" w:cs="宋体"/>
          <w:color w:val="auto"/>
          <w:sz w:val="24"/>
          <w:szCs w:val="21"/>
          <w:highlight w:val="none"/>
          <w:lang w:eastAsia="zh-CN"/>
        </w:rPr>
        <w:t>)乙方要认真贯彻落实《</w:t>
      </w:r>
      <w:r>
        <w:rPr>
          <w:rFonts w:hint="eastAsia" w:ascii="宋体" w:hAnsi="宋体" w:cs="宋体"/>
          <w:color w:val="auto"/>
          <w:sz w:val="24"/>
          <w:szCs w:val="21"/>
          <w:highlight w:val="none"/>
          <w:lang w:val="en-US" w:eastAsia="zh-CN"/>
        </w:rPr>
        <w:t>中华人民共和国</w:t>
      </w:r>
      <w:r>
        <w:rPr>
          <w:rFonts w:hint="eastAsia" w:ascii="宋体" w:hAnsi="宋体" w:eastAsia="宋体" w:cs="宋体"/>
          <w:color w:val="auto"/>
          <w:sz w:val="24"/>
          <w:szCs w:val="21"/>
          <w:highlight w:val="none"/>
          <w:lang w:eastAsia="zh-CN"/>
        </w:rPr>
        <w:t>劳动法》等现行国家及省市相关法律法规有关禁止拖欠民工工资的要求，依法支付民工工资，乙方应采取必要措施保证不拖欠民工工资。</w:t>
      </w:r>
    </w:p>
    <w:p w14:paraId="524E61C1">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w:t>
      </w:r>
      <w:r>
        <w:rPr>
          <w:rFonts w:hint="eastAsia" w:ascii="宋体" w:hAnsi="宋体" w:cs="宋体"/>
          <w:color w:val="auto"/>
          <w:sz w:val="24"/>
          <w:szCs w:val="21"/>
          <w:highlight w:val="none"/>
          <w:lang w:val="en-US" w:eastAsia="zh-CN"/>
        </w:rPr>
        <w:t>9</w:t>
      </w:r>
      <w:r>
        <w:rPr>
          <w:rFonts w:hint="eastAsia" w:ascii="宋体" w:hAnsi="宋体" w:eastAsia="宋体" w:cs="宋体"/>
          <w:color w:val="auto"/>
          <w:sz w:val="24"/>
          <w:szCs w:val="21"/>
          <w:highlight w:val="none"/>
          <w:lang w:eastAsia="zh-CN"/>
        </w:rPr>
        <w:t>)乙方应按照投标承诺和合同约定派驻现场技术、管理人员。</w:t>
      </w:r>
    </w:p>
    <w:p w14:paraId="382212AE">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w:t>
      </w:r>
      <w:r>
        <w:rPr>
          <w:rFonts w:hint="eastAsia" w:ascii="宋体" w:hAnsi="宋体" w:cs="宋体"/>
          <w:color w:val="auto"/>
          <w:sz w:val="24"/>
          <w:szCs w:val="21"/>
          <w:highlight w:val="none"/>
          <w:lang w:val="en-US" w:eastAsia="zh-CN"/>
        </w:rPr>
        <w:t>10</w:t>
      </w:r>
      <w:r>
        <w:rPr>
          <w:rFonts w:hint="eastAsia" w:ascii="宋体" w:hAnsi="宋体" w:eastAsia="宋体" w:cs="宋体"/>
          <w:color w:val="auto"/>
          <w:sz w:val="24"/>
          <w:szCs w:val="21"/>
          <w:highlight w:val="none"/>
          <w:lang w:eastAsia="zh-CN"/>
        </w:rPr>
        <w:t>)日常养护过程中不能封闭交通(特殊情况下的应急处置除外),由此引发的安全、临时标牌制作和设置，作业人员、设备、材料等的调配运输等问题，乙方自行考虑，由此产生的费用包含在合同总价中。</w:t>
      </w:r>
    </w:p>
    <w:p w14:paraId="28E6F01E">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cs="宋体"/>
          <w:color w:val="auto"/>
          <w:sz w:val="24"/>
          <w:szCs w:val="21"/>
          <w:highlight w:val="none"/>
          <w:lang w:eastAsia="zh-CN"/>
        </w:rPr>
        <w:t>（</w:t>
      </w:r>
      <w:r>
        <w:rPr>
          <w:rFonts w:hint="eastAsia" w:ascii="宋体" w:hAnsi="宋体" w:cs="宋体"/>
          <w:color w:val="auto"/>
          <w:sz w:val="24"/>
          <w:szCs w:val="21"/>
          <w:highlight w:val="none"/>
          <w:lang w:val="en-US" w:eastAsia="zh-CN"/>
        </w:rPr>
        <w:t>11)</w:t>
      </w:r>
      <w:r>
        <w:rPr>
          <w:rFonts w:hint="eastAsia" w:ascii="宋体" w:hAnsi="宋体" w:eastAsia="宋体" w:cs="宋体"/>
          <w:color w:val="auto"/>
          <w:sz w:val="24"/>
          <w:szCs w:val="21"/>
          <w:highlight w:val="none"/>
          <w:lang w:eastAsia="zh-CN"/>
        </w:rPr>
        <w:t>乙方应充分考虑项目具体情况，自行合理配备满足项目养护需要的机械、设备型号和数量。确保满足本项目养护需要。</w:t>
      </w:r>
    </w:p>
    <w:p w14:paraId="0A65EBCE">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乙方的养护机械、设备应在项目所在地办理机械、设备的</w:t>
      </w:r>
      <w:r>
        <w:rPr>
          <w:rFonts w:hint="eastAsia" w:ascii="宋体" w:hAnsi="宋体" w:cs="宋体"/>
          <w:color w:val="auto"/>
          <w:sz w:val="24"/>
          <w:szCs w:val="21"/>
          <w:highlight w:val="none"/>
          <w:lang w:val="en-US" w:eastAsia="zh-CN"/>
        </w:rPr>
        <w:t>服务</w:t>
      </w:r>
      <w:r>
        <w:rPr>
          <w:rFonts w:hint="eastAsia" w:ascii="宋体" w:hAnsi="宋体" w:eastAsia="宋体" w:cs="宋体"/>
          <w:color w:val="auto"/>
          <w:sz w:val="24"/>
          <w:szCs w:val="21"/>
          <w:highlight w:val="none"/>
          <w:lang w:eastAsia="zh-CN"/>
        </w:rPr>
        <w:t>相关手续，接受监督与管理，完成相关手续后方可投入使用。</w:t>
      </w:r>
    </w:p>
    <w:p w14:paraId="1FFE3B08">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为此发生的相关费用包含在所报的总价中，</w:t>
      </w:r>
      <w:r>
        <w:rPr>
          <w:rFonts w:hint="eastAsia" w:ascii="宋体" w:hAnsi="宋体" w:eastAsia="宋体" w:cs="宋体"/>
          <w:color w:val="auto"/>
          <w:sz w:val="24"/>
          <w:szCs w:val="21"/>
          <w:highlight w:val="none"/>
          <w:lang w:eastAsia="zh-CN"/>
        </w:rPr>
        <w:t>甲方</w:t>
      </w:r>
      <w:r>
        <w:rPr>
          <w:rFonts w:hint="eastAsia" w:ascii="宋体" w:hAnsi="宋体" w:eastAsia="宋体" w:cs="宋体"/>
          <w:color w:val="auto"/>
          <w:sz w:val="24"/>
          <w:szCs w:val="21"/>
          <w:highlight w:val="none"/>
        </w:rPr>
        <w:t>不再另行计列和支付。</w:t>
      </w:r>
    </w:p>
    <w:p w14:paraId="6CA51A51">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w:t>
      </w:r>
      <w:r>
        <w:rPr>
          <w:rFonts w:hint="eastAsia" w:ascii="宋体" w:hAnsi="宋体" w:cs="宋体"/>
          <w:color w:val="auto"/>
          <w:sz w:val="24"/>
          <w:szCs w:val="21"/>
          <w:highlight w:val="none"/>
          <w:lang w:val="en-US" w:eastAsia="zh-CN"/>
        </w:rPr>
        <w:t>12</w:t>
      </w:r>
      <w:r>
        <w:rPr>
          <w:rFonts w:hint="eastAsia" w:ascii="宋体" w:hAnsi="宋体" w:eastAsia="宋体" w:cs="宋体"/>
          <w:color w:val="auto"/>
          <w:sz w:val="24"/>
          <w:szCs w:val="21"/>
          <w:highlight w:val="none"/>
        </w:rPr>
        <w:t>)所有材料由</w:t>
      </w:r>
      <w:r>
        <w:rPr>
          <w:rFonts w:hint="eastAsia" w:ascii="宋体" w:hAnsi="宋体" w:eastAsia="宋体" w:cs="宋体"/>
          <w:color w:val="auto"/>
          <w:sz w:val="24"/>
          <w:szCs w:val="21"/>
          <w:highlight w:val="none"/>
          <w:lang w:eastAsia="zh-CN"/>
        </w:rPr>
        <w:t>乙方</w:t>
      </w:r>
      <w:r>
        <w:rPr>
          <w:rFonts w:hint="eastAsia" w:ascii="宋体" w:hAnsi="宋体" w:eastAsia="宋体" w:cs="宋体"/>
          <w:color w:val="auto"/>
          <w:sz w:val="24"/>
          <w:szCs w:val="21"/>
          <w:highlight w:val="none"/>
        </w:rPr>
        <w:t>按照采购文件规定的技术要求和合同执行期间新颁布的现行规范要求自行选择采购。</w:t>
      </w:r>
      <w:r>
        <w:rPr>
          <w:rFonts w:hint="eastAsia" w:ascii="宋体" w:hAnsi="宋体" w:eastAsia="宋体" w:cs="宋体"/>
          <w:color w:val="auto"/>
          <w:sz w:val="24"/>
          <w:szCs w:val="21"/>
          <w:highlight w:val="none"/>
          <w:lang w:eastAsia="zh-CN"/>
        </w:rPr>
        <w:t>乙方</w:t>
      </w:r>
      <w:r>
        <w:rPr>
          <w:rFonts w:hint="eastAsia" w:ascii="宋体" w:hAnsi="宋体" w:eastAsia="宋体" w:cs="宋体"/>
          <w:color w:val="auto"/>
          <w:sz w:val="24"/>
          <w:szCs w:val="21"/>
          <w:highlight w:val="none"/>
        </w:rPr>
        <w:t>应根据项目需要提前做好备料工作。</w:t>
      </w:r>
    </w:p>
    <w:p w14:paraId="5DB222CE">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w:t>
      </w:r>
      <w:r>
        <w:rPr>
          <w:rFonts w:hint="eastAsia" w:ascii="宋体" w:hAnsi="宋体" w:cs="宋体"/>
          <w:color w:val="auto"/>
          <w:sz w:val="24"/>
          <w:szCs w:val="21"/>
          <w:highlight w:val="none"/>
          <w:lang w:val="en-US" w:eastAsia="zh-CN"/>
        </w:rPr>
        <w:t>3</w:t>
      </w:r>
      <w:r>
        <w:rPr>
          <w:rFonts w:hint="eastAsia" w:ascii="宋体" w:hAnsi="宋体" w:eastAsia="宋体" w:cs="宋体"/>
          <w:color w:val="auto"/>
          <w:sz w:val="24"/>
          <w:szCs w:val="21"/>
          <w:highlight w:val="none"/>
        </w:rPr>
        <w:t>)本项目所需供电、电讯、供水等由</w:t>
      </w:r>
      <w:r>
        <w:rPr>
          <w:rFonts w:hint="eastAsia" w:ascii="宋体" w:hAnsi="宋体" w:eastAsia="宋体" w:cs="宋体"/>
          <w:color w:val="auto"/>
          <w:sz w:val="24"/>
          <w:szCs w:val="21"/>
          <w:highlight w:val="none"/>
          <w:lang w:eastAsia="zh-CN"/>
        </w:rPr>
        <w:t>乙方</w:t>
      </w:r>
      <w:r>
        <w:rPr>
          <w:rFonts w:hint="eastAsia" w:ascii="宋体" w:hAnsi="宋体" w:eastAsia="宋体" w:cs="宋体"/>
          <w:color w:val="auto"/>
          <w:sz w:val="24"/>
          <w:szCs w:val="21"/>
          <w:highlight w:val="none"/>
        </w:rPr>
        <w:t>自行调查解决，所发生的一切费用含在合同价中，</w:t>
      </w:r>
      <w:r>
        <w:rPr>
          <w:rFonts w:hint="eastAsia" w:ascii="宋体" w:hAnsi="宋体" w:eastAsia="宋体" w:cs="宋体"/>
          <w:color w:val="auto"/>
          <w:sz w:val="24"/>
          <w:szCs w:val="21"/>
          <w:highlight w:val="none"/>
          <w:lang w:eastAsia="zh-CN"/>
        </w:rPr>
        <w:t>甲方</w:t>
      </w:r>
      <w:r>
        <w:rPr>
          <w:rFonts w:hint="eastAsia" w:ascii="宋体" w:hAnsi="宋体" w:eastAsia="宋体" w:cs="宋体"/>
          <w:color w:val="auto"/>
          <w:sz w:val="24"/>
          <w:szCs w:val="21"/>
          <w:highlight w:val="none"/>
        </w:rPr>
        <w:t>不另行支付。</w:t>
      </w:r>
    </w:p>
    <w:p w14:paraId="003D99BD">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w:t>
      </w:r>
      <w:r>
        <w:rPr>
          <w:rFonts w:hint="eastAsia" w:ascii="宋体" w:hAnsi="宋体" w:cs="宋体"/>
          <w:color w:val="auto"/>
          <w:sz w:val="24"/>
          <w:szCs w:val="21"/>
          <w:highlight w:val="none"/>
          <w:lang w:val="en-US" w:eastAsia="zh-CN"/>
        </w:rPr>
        <w:t>4</w:t>
      </w:r>
      <w:r>
        <w:rPr>
          <w:rFonts w:hint="eastAsia" w:ascii="宋体" w:hAnsi="宋体" w:eastAsia="宋体" w:cs="宋体"/>
          <w:color w:val="auto"/>
          <w:sz w:val="24"/>
          <w:szCs w:val="21"/>
          <w:highlight w:val="none"/>
        </w:rPr>
        <w:t>)</w:t>
      </w:r>
      <w:r>
        <w:rPr>
          <w:rFonts w:hint="eastAsia" w:ascii="宋体" w:hAnsi="宋体" w:cs="宋体"/>
          <w:color w:val="auto"/>
          <w:sz w:val="24"/>
          <w:szCs w:val="21"/>
          <w:highlight w:val="none"/>
          <w:lang w:val="en-US" w:eastAsia="zh-CN"/>
        </w:rPr>
        <w:t>项目服务</w:t>
      </w:r>
      <w:r>
        <w:rPr>
          <w:rFonts w:hint="eastAsia" w:ascii="宋体" w:hAnsi="宋体" w:eastAsia="宋体" w:cs="宋体"/>
          <w:color w:val="auto"/>
          <w:sz w:val="24"/>
          <w:szCs w:val="21"/>
          <w:highlight w:val="none"/>
        </w:rPr>
        <w:t>期间，</w:t>
      </w:r>
      <w:r>
        <w:rPr>
          <w:rFonts w:hint="eastAsia" w:ascii="宋体" w:hAnsi="宋体" w:eastAsia="宋体" w:cs="宋体"/>
          <w:color w:val="auto"/>
          <w:sz w:val="24"/>
          <w:szCs w:val="21"/>
          <w:highlight w:val="none"/>
          <w:lang w:eastAsia="zh-CN"/>
        </w:rPr>
        <w:t>乙方</w:t>
      </w:r>
      <w:r>
        <w:rPr>
          <w:rFonts w:hint="eastAsia" w:ascii="宋体" w:hAnsi="宋体" w:eastAsia="宋体" w:cs="宋体"/>
          <w:color w:val="auto"/>
          <w:sz w:val="24"/>
          <w:szCs w:val="21"/>
          <w:highlight w:val="none"/>
        </w:rPr>
        <w:t>应对原有道路及结构物的安全、交通标志、标牌、各类地下预埋管线、绿化的保护等采取相应的措施以及正常营运等采取相应的措施，</w:t>
      </w:r>
      <w:r>
        <w:rPr>
          <w:rFonts w:hint="eastAsia" w:ascii="宋体" w:hAnsi="宋体" w:eastAsia="宋体" w:cs="宋体"/>
          <w:color w:val="auto"/>
          <w:sz w:val="24"/>
          <w:szCs w:val="21"/>
          <w:highlight w:val="none"/>
          <w:lang w:eastAsia="zh-CN"/>
        </w:rPr>
        <w:t>乙方</w:t>
      </w:r>
      <w:r>
        <w:rPr>
          <w:rFonts w:hint="eastAsia" w:ascii="宋体" w:hAnsi="宋体" w:eastAsia="宋体" w:cs="宋体"/>
          <w:color w:val="auto"/>
          <w:sz w:val="24"/>
          <w:szCs w:val="21"/>
          <w:highlight w:val="none"/>
        </w:rPr>
        <w:t>应将其采取上述措施而可能发生的全部费用计入报价中，</w:t>
      </w:r>
      <w:r>
        <w:rPr>
          <w:rFonts w:hint="eastAsia" w:ascii="宋体" w:hAnsi="宋体" w:eastAsia="宋体" w:cs="宋体"/>
          <w:color w:val="auto"/>
          <w:sz w:val="24"/>
          <w:szCs w:val="21"/>
          <w:highlight w:val="none"/>
          <w:lang w:eastAsia="zh-CN"/>
        </w:rPr>
        <w:t>甲方</w:t>
      </w:r>
      <w:r>
        <w:rPr>
          <w:rFonts w:hint="eastAsia" w:ascii="宋体" w:hAnsi="宋体" w:eastAsia="宋体" w:cs="宋体"/>
          <w:color w:val="auto"/>
          <w:sz w:val="24"/>
          <w:szCs w:val="21"/>
          <w:highlight w:val="none"/>
        </w:rPr>
        <w:t>将不另行计量与支付，项目实施期间，</w:t>
      </w:r>
      <w:r>
        <w:rPr>
          <w:rFonts w:hint="eastAsia" w:ascii="宋体" w:hAnsi="宋体" w:eastAsia="宋体" w:cs="宋体"/>
          <w:color w:val="auto"/>
          <w:sz w:val="24"/>
          <w:szCs w:val="21"/>
          <w:highlight w:val="none"/>
          <w:lang w:eastAsia="zh-CN"/>
        </w:rPr>
        <w:t>乙方</w:t>
      </w:r>
      <w:r>
        <w:rPr>
          <w:rFonts w:hint="eastAsia" w:ascii="宋体" w:hAnsi="宋体" w:eastAsia="宋体" w:cs="宋体"/>
          <w:color w:val="auto"/>
          <w:sz w:val="24"/>
          <w:szCs w:val="21"/>
          <w:highlight w:val="none"/>
        </w:rPr>
        <w:t>不得以任何理由对此提出索赔。由于自身原因而对其他合同项目造成污染、损坏、损失等，均应立即免费修复或足额赔偿。</w:t>
      </w:r>
    </w:p>
    <w:p w14:paraId="1727F585">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w:t>
      </w:r>
      <w:r>
        <w:rPr>
          <w:rFonts w:hint="eastAsia" w:ascii="宋体" w:hAnsi="宋体" w:cs="宋体"/>
          <w:color w:val="auto"/>
          <w:sz w:val="24"/>
          <w:szCs w:val="21"/>
          <w:highlight w:val="none"/>
          <w:lang w:val="en-US" w:eastAsia="zh-CN"/>
        </w:rPr>
        <w:t>15</w:t>
      </w:r>
      <w:r>
        <w:rPr>
          <w:rFonts w:hint="eastAsia" w:ascii="宋体" w:hAnsi="宋体" w:cs="宋体"/>
          <w:color w:val="auto"/>
          <w:sz w:val="24"/>
          <w:szCs w:val="21"/>
          <w:highlight w:val="none"/>
          <w:lang w:eastAsia="zh-CN"/>
        </w:rPr>
        <w:t>）</w:t>
      </w:r>
      <w:r>
        <w:rPr>
          <w:rFonts w:hint="eastAsia" w:ascii="宋体" w:hAnsi="宋体" w:eastAsia="宋体" w:cs="宋体"/>
          <w:color w:val="auto"/>
          <w:sz w:val="24"/>
          <w:szCs w:val="21"/>
          <w:highlight w:val="none"/>
          <w:lang w:eastAsia="zh-CN"/>
        </w:rPr>
        <w:t>乙方</w:t>
      </w:r>
      <w:r>
        <w:rPr>
          <w:rFonts w:hint="eastAsia" w:ascii="宋体" w:hAnsi="宋体" w:eastAsia="宋体" w:cs="宋体"/>
          <w:color w:val="auto"/>
          <w:sz w:val="24"/>
          <w:szCs w:val="21"/>
          <w:highlight w:val="none"/>
        </w:rPr>
        <w:t>必须加强对地下管线等相关隐蔽设施的保护，</w:t>
      </w:r>
      <w:r>
        <w:rPr>
          <w:rFonts w:hint="eastAsia" w:ascii="宋体" w:hAnsi="宋体" w:eastAsia="宋体" w:cs="宋体"/>
          <w:color w:val="auto"/>
          <w:sz w:val="24"/>
          <w:szCs w:val="21"/>
          <w:highlight w:val="none"/>
          <w:lang w:eastAsia="zh-CN"/>
        </w:rPr>
        <w:t>乙方</w:t>
      </w:r>
      <w:r>
        <w:rPr>
          <w:rFonts w:hint="eastAsia" w:ascii="宋体" w:hAnsi="宋体" w:eastAsia="宋体" w:cs="宋体"/>
          <w:color w:val="auto"/>
          <w:sz w:val="24"/>
          <w:szCs w:val="21"/>
          <w:highlight w:val="none"/>
        </w:rPr>
        <w:t>必须事先查明情况，方可实施对隐蔽设施可能产生影响的相关项目，否则造成的后果，除了由</w:t>
      </w:r>
      <w:r>
        <w:rPr>
          <w:rFonts w:hint="eastAsia" w:ascii="宋体" w:hAnsi="宋体" w:eastAsia="宋体" w:cs="宋体"/>
          <w:color w:val="auto"/>
          <w:sz w:val="24"/>
          <w:szCs w:val="21"/>
          <w:highlight w:val="none"/>
          <w:lang w:eastAsia="zh-CN"/>
        </w:rPr>
        <w:t>乙方</w:t>
      </w:r>
      <w:r>
        <w:rPr>
          <w:rFonts w:hint="eastAsia" w:ascii="宋体" w:hAnsi="宋体" w:eastAsia="宋体" w:cs="宋体"/>
          <w:color w:val="auto"/>
          <w:sz w:val="24"/>
          <w:szCs w:val="21"/>
          <w:highlight w:val="none"/>
        </w:rPr>
        <w:t>自行承担一切责任外，</w:t>
      </w:r>
      <w:r>
        <w:rPr>
          <w:rFonts w:hint="eastAsia" w:ascii="宋体" w:hAnsi="宋体" w:eastAsia="宋体" w:cs="宋体"/>
          <w:color w:val="auto"/>
          <w:sz w:val="24"/>
          <w:szCs w:val="21"/>
          <w:highlight w:val="none"/>
          <w:lang w:eastAsia="zh-CN"/>
        </w:rPr>
        <w:t>甲方</w:t>
      </w:r>
      <w:r>
        <w:rPr>
          <w:rFonts w:hint="eastAsia" w:ascii="宋体" w:hAnsi="宋体" w:eastAsia="宋体" w:cs="宋体"/>
          <w:color w:val="auto"/>
          <w:sz w:val="24"/>
          <w:szCs w:val="21"/>
          <w:highlight w:val="none"/>
        </w:rPr>
        <w:t>还将严肃追究</w:t>
      </w:r>
      <w:r>
        <w:rPr>
          <w:rFonts w:hint="eastAsia" w:ascii="宋体" w:hAnsi="宋体" w:eastAsia="宋体" w:cs="宋体"/>
          <w:color w:val="auto"/>
          <w:sz w:val="24"/>
          <w:szCs w:val="21"/>
          <w:highlight w:val="none"/>
          <w:lang w:eastAsia="zh-CN"/>
        </w:rPr>
        <w:t>乙方</w:t>
      </w:r>
      <w:r>
        <w:rPr>
          <w:rFonts w:hint="eastAsia" w:ascii="宋体" w:hAnsi="宋体" w:eastAsia="宋体" w:cs="宋体"/>
          <w:color w:val="auto"/>
          <w:sz w:val="24"/>
          <w:szCs w:val="21"/>
          <w:highlight w:val="none"/>
        </w:rPr>
        <w:t>的违约责任。</w:t>
      </w:r>
    </w:p>
    <w:p w14:paraId="179E22C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w:t>
      </w:r>
      <w:r>
        <w:rPr>
          <w:rFonts w:hint="eastAsia" w:ascii="宋体" w:hAnsi="宋体" w:cs="宋体"/>
          <w:color w:val="auto"/>
          <w:sz w:val="24"/>
          <w:szCs w:val="21"/>
          <w:highlight w:val="none"/>
          <w:lang w:val="en-US" w:eastAsia="zh-CN"/>
        </w:rPr>
        <w:t>6</w:t>
      </w:r>
      <w:r>
        <w:rPr>
          <w:rFonts w:hint="eastAsia" w:ascii="宋体" w:hAnsi="宋体" w:eastAsia="宋体" w:cs="宋体"/>
          <w:color w:val="auto"/>
          <w:sz w:val="24"/>
          <w:szCs w:val="21"/>
          <w:highlight w:val="none"/>
        </w:rPr>
        <w:t>)</w:t>
      </w:r>
      <w:r>
        <w:rPr>
          <w:rFonts w:hint="eastAsia" w:ascii="宋体" w:hAnsi="宋体" w:eastAsia="宋体" w:cs="宋体"/>
          <w:color w:val="auto"/>
          <w:sz w:val="24"/>
          <w:szCs w:val="21"/>
          <w:highlight w:val="none"/>
          <w:lang w:eastAsia="zh-CN"/>
        </w:rPr>
        <w:t>乙方</w:t>
      </w:r>
      <w:r>
        <w:rPr>
          <w:rFonts w:hint="eastAsia" w:ascii="宋体" w:hAnsi="宋体" w:eastAsia="宋体" w:cs="宋体"/>
          <w:color w:val="auto"/>
          <w:sz w:val="24"/>
          <w:szCs w:val="21"/>
          <w:highlight w:val="none"/>
        </w:rPr>
        <w:t>应在</w:t>
      </w:r>
      <w:r>
        <w:rPr>
          <w:rFonts w:hint="eastAsia" w:ascii="宋体" w:hAnsi="宋体" w:eastAsia="宋体" w:cs="宋体"/>
          <w:color w:val="auto"/>
          <w:sz w:val="24"/>
          <w:szCs w:val="21"/>
          <w:highlight w:val="none"/>
          <w:lang w:eastAsia="zh-CN"/>
        </w:rPr>
        <w:t>甲方</w:t>
      </w:r>
      <w:r>
        <w:rPr>
          <w:rFonts w:hint="eastAsia" w:ascii="宋体" w:hAnsi="宋体" w:eastAsia="宋体" w:cs="宋体"/>
          <w:color w:val="auto"/>
          <w:sz w:val="24"/>
          <w:szCs w:val="21"/>
          <w:highlight w:val="none"/>
        </w:rPr>
        <w:t>的指示下，为本项目其他养护项目提供必要的便利条件。</w:t>
      </w:r>
      <w:r>
        <w:rPr>
          <w:rFonts w:hint="eastAsia" w:ascii="宋体" w:hAnsi="宋体" w:eastAsia="宋体" w:cs="宋体"/>
          <w:color w:val="auto"/>
          <w:sz w:val="24"/>
          <w:szCs w:val="21"/>
          <w:highlight w:val="none"/>
          <w:lang w:eastAsia="zh-CN"/>
        </w:rPr>
        <w:t>乙方</w:t>
      </w:r>
      <w:r>
        <w:rPr>
          <w:rFonts w:hint="eastAsia" w:ascii="宋体" w:hAnsi="宋体" w:eastAsia="宋体" w:cs="宋体"/>
          <w:color w:val="auto"/>
          <w:sz w:val="24"/>
          <w:szCs w:val="21"/>
          <w:highlight w:val="none"/>
        </w:rPr>
        <w:t>因此发生的一切费用均应含在报价中，</w:t>
      </w:r>
      <w:r>
        <w:rPr>
          <w:rFonts w:hint="eastAsia" w:ascii="宋体" w:hAnsi="宋体" w:eastAsia="宋体" w:cs="宋体"/>
          <w:color w:val="auto"/>
          <w:sz w:val="24"/>
          <w:szCs w:val="21"/>
          <w:highlight w:val="none"/>
          <w:lang w:eastAsia="zh-CN"/>
        </w:rPr>
        <w:t>甲方</w:t>
      </w:r>
      <w:r>
        <w:rPr>
          <w:rFonts w:hint="eastAsia" w:ascii="宋体" w:hAnsi="宋体" w:eastAsia="宋体" w:cs="宋体"/>
          <w:color w:val="auto"/>
          <w:sz w:val="24"/>
          <w:szCs w:val="21"/>
          <w:highlight w:val="none"/>
        </w:rPr>
        <w:t>不再另行计列。</w:t>
      </w:r>
    </w:p>
    <w:p w14:paraId="14AA9CCF">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w:t>
      </w:r>
      <w:r>
        <w:rPr>
          <w:rFonts w:hint="eastAsia" w:ascii="宋体" w:hAnsi="宋体" w:cs="宋体"/>
          <w:color w:val="auto"/>
          <w:sz w:val="24"/>
          <w:szCs w:val="21"/>
          <w:highlight w:val="none"/>
          <w:lang w:val="en-US" w:eastAsia="zh-CN"/>
        </w:rPr>
        <w:t>17</w:t>
      </w:r>
      <w:r>
        <w:rPr>
          <w:rFonts w:hint="eastAsia" w:ascii="宋体" w:hAnsi="宋体" w:eastAsia="宋体" w:cs="宋体"/>
          <w:color w:val="auto"/>
          <w:sz w:val="24"/>
          <w:szCs w:val="21"/>
          <w:highlight w:val="none"/>
        </w:rPr>
        <w:t>)本项目应按照《中华人民共和国大气污染防治法》和《江苏省大气污染防治条例》等污染防治相关现行文件的规定做好扬尘污染防治工作，由此产生的相关费用含在报价中，</w:t>
      </w:r>
      <w:r>
        <w:rPr>
          <w:rFonts w:hint="eastAsia" w:ascii="宋体" w:hAnsi="宋体" w:eastAsia="宋体" w:cs="宋体"/>
          <w:color w:val="auto"/>
          <w:sz w:val="24"/>
          <w:szCs w:val="21"/>
          <w:highlight w:val="none"/>
          <w:lang w:eastAsia="zh-CN"/>
        </w:rPr>
        <w:t>甲方</w:t>
      </w:r>
      <w:r>
        <w:rPr>
          <w:rFonts w:hint="eastAsia" w:ascii="宋体" w:hAnsi="宋体" w:eastAsia="宋体" w:cs="宋体"/>
          <w:color w:val="auto"/>
          <w:sz w:val="24"/>
          <w:szCs w:val="21"/>
          <w:highlight w:val="none"/>
        </w:rPr>
        <w:t>不再另行支付。</w:t>
      </w:r>
    </w:p>
    <w:p w14:paraId="5CB42395">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w:t>
      </w:r>
      <w:r>
        <w:rPr>
          <w:rFonts w:hint="eastAsia" w:ascii="宋体" w:hAnsi="宋体" w:cs="宋体"/>
          <w:color w:val="auto"/>
          <w:sz w:val="24"/>
          <w:szCs w:val="21"/>
          <w:highlight w:val="none"/>
          <w:lang w:val="en-US" w:eastAsia="zh-CN"/>
        </w:rPr>
        <w:t>18</w:t>
      </w:r>
      <w:r>
        <w:rPr>
          <w:rFonts w:hint="eastAsia" w:ascii="宋体" w:hAnsi="宋体" w:eastAsia="宋体" w:cs="宋体"/>
          <w:color w:val="auto"/>
          <w:sz w:val="24"/>
          <w:szCs w:val="21"/>
          <w:highlight w:val="none"/>
        </w:rPr>
        <w:t>)根据本项目的特点，同时充分考虑自然因素及其他因素的不利影响，在项目实施过程中，</w:t>
      </w:r>
      <w:r>
        <w:rPr>
          <w:rFonts w:hint="eastAsia" w:ascii="宋体" w:hAnsi="宋体" w:eastAsia="宋体" w:cs="宋体"/>
          <w:color w:val="auto"/>
          <w:sz w:val="24"/>
          <w:szCs w:val="21"/>
          <w:highlight w:val="none"/>
          <w:lang w:eastAsia="zh-CN"/>
        </w:rPr>
        <w:t>甲方</w:t>
      </w:r>
      <w:r>
        <w:rPr>
          <w:rFonts w:hint="eastAsia" w:ascii="宋体" w:hAnsi="宋体" w:eastAsia="宋体" w:cs="宋体"/>
          <w:color w:val="auto"/>
          <w:sz w:val="24"/>
          <w:szCs w:val="21"/>
          <w:highlight w:val="none"/>
        </w:rPr>
        <w:t>可能会要求</w:t>
      </w:r>
      <w:r>
        <w:rPr>
          <w:rFonts w:hint="eastAsia" w:ascii="宋体" w:hAnsi="宋体" w:eastAsia="宋体" w:cs="宋体"/>
          <w:color w:val="auto"/>
          <w:sz w:val="24"/>
          <w:szCs w:val="21"/>
          <w:highlight w:val="none"/>
          <w:lang w:eastAsia="zh-CN"/>
        </w:rPr>
        <w:t>乙方</w:t>
      </w:r>
      <w:r>
        <w:rPr>
          <w:rFonts w:hint="eastAsia" w:ascii="宋体" w:hAnsi="宋体" w:eastAsia="宋体" w:cs="宋体"/>
          <w:color w:val="auto"/>
          <w:sz w:val="24"/>
          <w:szCs w:val="21"/>
          <w:highlight w:val="none"/>
        </w:rPr>
        <w:t>加快进度以确保项目能按时完成，对此</w:t>
      </w:r>
      <w:r>
        <w:rPr>
          <w:rFonts w:hint="eastAsia" w:ascii="宋体" w:hAnsi="宋体" w:eastAsia="宋体" w:cs="宋体"/>
          <w:color w:val="auto"/>
          <w:sz w:val="24"/>
          <w:szCs w:val="21"/>
          <w:highlight w:val="none"/>
          <w:lang w:eastAsia="zh-CN"/>
        </w:rPr>
        <w:t>乙方</w:t>
      </w:r>
      <w:r>
        <w:rPr>
          <w:rFonts w:hint="eastAsia" w:ascii="宋体" w:hAnsi="宋体" w:eastAsia="宋体" w:cs="宋体"/>
          <w:color w:val="auto"/>
          <w:sz w:val="24"/>
          <w:szCs w:val="21"/>
          <w:highlight w:val="none"/>
        </w:rPr>
        <w:t>应无条件服从。</w:t>
      </w:r>
      <w:r>
        <w:rPr>
          <w:rFonts w:hint="eastAsia" w:ascii="宋体" w:hAnsi="宋体" w:eastAsia="宋体" w:cs="宋体"/>
          <w:color w:val="auto"/>
          <w:sz w:val="24"/>
          <w:szCs w:val="21"/>
          <w:highlight w:val="none"/>
          <w:lang w:eastAsia="zh-CN"/>
        </w:rPr>
        <w:t>乙方</w:t>
      </w:r>
      <w:r>
        <w:rPr>
          <w:rFonts w:hint="eastAsia" w:ascii="宋体" w:hAnsi="宋体" w:eastAsia="宋体" w:cs="宋体"/>
          <w:color w:val="auto"/>
          <w:sz w:val="24"/>
          <w:szCs w:val="21"/>
          <w:highlight w:val="none"/>
        </w:rPr>
        <w:t>应充分考虑因此所需的</w:t>
      </w:r>
      <w:r>
        <w:rPr>
          <w:rFonts w:hint="eastAsia" w:ascii="宋体" w:hAnsi="宋体" w:cs="宋体"/>
          <w:color w:val="auto"/>
          <w:sz w:val="24"/>
          <w:szCs w:val="21"/>
          <w:highlight w:val="none"/>
          <w:lang w:eastAsia="zh-CN"/>
        </w:rPr>
        <w:t>服务</w:t>
      </w:r>
      <w:r>
        <w:rPr>
          <w:rFonts w:hint="eastAsia" w:ascii="宋体" w:hAnsi="宋体" w:eastAsia="宋体" w:cs="宋体"/>
          <w:color w:val="auto"/>
          <w:sz w:val="24"/>
          <w:szCs w:val="21"/>
          <w:highlight w:val="none"/>
        </w:rPr>
        <w:t>费、措施费等相关费用，所需费用含在报价中，</w:t>
      </w:r>
      <w:r>
        <w:rPr>
          <w:rFonts w:hint="eastAsia" w:ascii="宋体" w:hAnsi="宋体" w:eastAsia="宋体" w:cs="宋体"/>
          <w:color w:val="auto"/>
          <w:sz w:val="24"/>
          <w:szCs w:val="21"/>
          <w:highlight w:val="none"/>
          <w:lang w:eastAsia="zh-CN"/>
        </w:rPr>
        <w:t>甲方</w:t>
      </w:r>
      <w:r>
        <w:rPr>
          <w:rFonts w:hint="eastAsia" w:ascii="宋体" w:hAnsi="宋体" w:eastAsia="宋体" w:cs="宋体"/>
          <w:color w:val="auto"/>
          <w:sz w:val="24"/>
          <w:szCs w:val="21"/>
          <w:highlight w:val="none"/>
        </w:rPr>
        <w:t>不再另行支付。</w:t>
      </w:r>
    </w:p>
    <w:p w14:paraId="40ADADC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w:t>
      </w:r>
      <w:r>
        <w:rPr>
          <w:rFonts w:hint="eastAsia" w:ascii="宋体" w:hAnsi="宋体" w:cs="宋体"/>
          <w:color w:val="auto"/>
          <w:sz w:val="24"/>
          <w:szCs w:val="21"/>
          <w:highlight w:val="none"/>
          <w:lang w:val="en-US" w:eastAsia="zh-CN"/>
        </w:rPr>
        <w:t>19</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rPr>
        <w:t>乙方应保证甲方在使用该服务或其任何一部分时不受第三方提出侵犯其专利权、版权、商标权或其他权利的起诉。一旦出现侵权，乙方应承担全部责任。</w:t>
      </w:r>
    </w:p>
    <w:p w14:paraId="00B5D3C0">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lang w:val="en-US" w:eastAsia="zh-CN"/>
        </w:rPr>
        <w:t>20</w:t>
      </w:r>
      <w:r>
        <w:rPr>
          <w:rFonts w:hint="eastAsia" w:ascii="宋体" w:hAnsi="宋体" w:eastAsia="宋体" w:cs="宋体"/>
          <w:color w:val="auto"/>
          <w:sz w:val="24"/>
          <w:szCs w:val="21"/>
          <w:highlight w:val="none"/>
          <w:lang w:eastAsia="zh-CN"/>
        </w:rPr>
        <w:t>)双方约定乙方应做的其他工作。</w:t>
      </w:r>
    </w:p>
    <w:p w14:paraId="241CFB7F">
      <w:pPr>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条 质量保证</w:t>
      </w:r>
    </w:p>
    <w:p w14:paraId="4C617375">
      <w:pPr>
        <w:pStyle w:val="23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乙方应按招标文件规定和响应文件（含招标清单）承诺的性能、技术要求、质量标准向甲方提供产品或服务。</w:t>
      </w:r>
    </w:p>
    <w:p w14:paraId="692A3462">
      <w:pPr>
        <w:pStyle w:val="23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乙方提供的产品或服务在</w:t>
      </w:r>
      <w:r>
        <w:rPr>
          <w:rFonts w:hint="eastAsia" w:hAnsi="宋体" w:cs="宋体"/>
          <w:color w:val="auto"/>
          <w:sz w:val="24"/>
          <w:szCs w:val="24"/>
          <w:highlight w:val="none"/>
          <w:lang w:val="en-US" w:eastAsia="zh-CN"/>
        </w:rPr>
        <w:t>项目履行</w:t>
      </w:r>
      <w:r>
        <w:rPr>
          <w:rFonts w:hint="eastAsia" w:ascii="宋体" w:hAnsi="宋体" w:eastAsia="宋体" w:cs="宋体"/>
          <w:color w:val="auto"/>
          <w:sz w:val="24"/>
          <w:szCs w:val="24"/>
          <w:highlight w:val="none"/>
        </w:rPr>
        <w:t>期内因其本身出现质量问题，根据实际情况，经双方协商，可按以下办法处理：</w:t>
      </w:r>
    </w:p>
    <w:p w14:paraId="327A70F2">
      <w:pPr>
        <w:pStyle w:val="23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（1）更换：由乙方承担所发生的全部费用。</w:t>
      </w:r>
    </w:p>
    <w:p w14:paraId="261F24A4">
      <w:pPr>
        <w:pStyle w:val="23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（2）合同终止处理：合同终止，并退还甲方</w:t>
      </w:r>
      <w:r>
        <w:rPr>
          <w:rFonts w:hint="eastAsia" w:hAnsi="宋体" w:cs="宋体"/>
          <w:color w:val="auto"/>
          <w:sz w:val="24"/>
          <w:szCs w:val="24"/>
          <w:highlight w:val="none"/>
          <w:lang w:val="en-US" w:eastAsia="zh-CN"/>
        </w:rPr>
        <w:t>已</w:t>
      </w:r>
      <w:r>
        <w:rPr>
          <w:rFonts w:hint="eastAsia" w:ascii="宋体" w:hAnsi="宋体" w:eastAsia="宋体" w:cs="宋体"/>
          <w:color w:val="auto"/>
          <w:sz w:val="24"/>
          <w:szCs w:val="24"/>
          <w:highlight w:val="none"/>
        </w:rPr>
        <w:t>支付的</w:t>
      </w:r>
      <w:r>
        <w:rPr>
          <w:rFonts w:hint="eastAsia" w:hAnsi="宋体" w:cs="宋体"/>
          <w:color w:val="auto"/>
          <w:sz w:val="24"/>
          <w:szCs w:val="24"/>
          <w:highlight w:val="none"/>
          <w:lang w:val="en-US" w:eastAsia="zh-CN"/>
        </w:rPr>
        <w:t>对应布置次数的</w:t>
      </w:r>
      <w:r>
        <w:rPr>
          <w:rFonts w:hint="eastAsia" w:ascii="宋体" w:hAnsi="宋体" w:eastAsia="宋体" w:cs="宋体"/>
          <w:color w:val="auto"/>
          <w:sz w:val="24"/>
          <w:szCs w:val="24"/>
          <w:highlight w:val="none"/>
        </w:rPr>
        <w:t>合同款</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如仅支付预付款，则退还预付款；）</w:t>
      </w:r>
      <w:r>
        <w:rPr>
          <w:rFonts w:hint="eastAsia" w:ascii="宋体" w:hAnsi="宋体" w:eastAsia="宋体" w:cs="宋体"/>
          <w:color w:val="auto"/>
          <w:sz w:val="24"/>
          <w:szCs w:val="24"/>
          <w:highlight w:val="none"/>
        </w:rPr>
        <w:t>，同时应承担由此产生的所有费用，甲方不承担发生任何费用。</w:t>
      </w:r>
    </w:p>
    <w:p w14:paraId="51A45D51">
      <w:pPr>
        <w:pStyle w:val="23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如在使用过程中发生质量问题，乙方在接到甲方通知后在</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rPr>
        <w:t>小时内到达甲方现场。</w:t>
      </w:r>
    </w:p>
    <w:p w14:paraId="4FD5ADF8">
      <w:pPr>
        <w:pStyle w:val="23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在</w:t>
      </w:r>
      <w:r>
        <w:rPr>
          <w:rFonts w:hint="eastAsia" w:hAnsi="宋体" w:cs="宋体"/>
          <w:color w:val="auto"/>
          <w:sz w:val="24"/>
          <w:szCs w:val="24"/>
          <w:highlight w:val="none"/>
          <w:lang w:val="en-US" w:eastAsia="zh-CN"/>
        </w:rPr>
        <w:t>项目履行期内</w:t>
      </w:r>
      <w:r>
        <w:rPr>
          <w:rFonts w:hint="eastAsia" w:ascii="宋体" w:hAnsi="宋体" w:eastAsia="宋体" w:cs="宋体"/>
          <w:color w:val="auto"/>
          <w:sz w:val="24"/>
          <w:szCs w:val="24"/>
          <w:highlight w:val="none"/>
        </w:rPr>
        <w:t>，乙方应对产品或服务出现的质量及安全问题负责处理解决并承担一切费用。</w:t>
      </w:r>
    </w:p>
    <w:p w14:paraId="1127613A">
      <w:pPr>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条 交付和验收</w:t>
      </w:r>
    </w:p>
    <w:p w14:paraId="6BF35BB0">
      <w:pPr>
        <w:spacing w:line="360" w:lineRule="auto"/>
        <w:ind w:firstLine="42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1、服务期限：自</w:t>
      </w:r>
      <w:r>
        <w:rPr>
          <w:rFonts w:hint="eastAsia" w:ascii="宋体" w:hAnsi="宋体" w:eastAsia="宋体" w:cs="宋体"/>
          <w:color w:val="auto"/>
          <w:sz w:val="24"/>
          <w:szCs w:val="24"/>
          <w:highlight w:val="none"/>
          <w:u w:val="single"/>
          <w:lang w:val="en-US"/>
        </w:rPr>
        <w:t xml:space="preserve">   年   月   日</w:t>
      </w:r>
      <w:r>
        <w:rPr>
          <w:rFonts w:hint="eastAsia" w:ascii="宋体" w:hAnsi="宋体" w:eastAsia="宋体" w:cs="宋体"/>
          <w:color w:val="auto"/>
          <w:sz w:val="24"/>
          <w:szCs w:val="24"/>
          <w:highlight w:val="none"/>
          <w:lang w:val="en-US"/>
        </w:rPr>
        <w:t>至</w:t>
      </w:r>
      <w:r>
        <w:rPr>
          <w:rFonts w:hint="eastAsia" w:ascii="宋体" w:hAnsi="宋体" w:eastAsia="宋体" w:cs="宋体"/>
          <w:color w:val="auto"/>
          <w:sz w:val="24"/>
          <w:szCs w:val="24"/>
          <w:highlight w:val="none"/>
          <w:u w:val="single"/>
          <w:lang w:val="en-US"/>
        </w:rPr>
        <w:t xml:space="preserve">   年   月   日</w:t>
      </w:r>
      <w:r>
        <w:rPr>
          <w:rFonts w:hint="eastAsia" w:ascii="宋体" w:hAnsi="宋体" w:eastAsia="宋体" w:cs="宋体"/>
          <w:color w:val="auto"/>
          <w:sz w:val="24"/>
          <w:szCs w:val="24"/>
          <w:highlight w:val="none"/>
        </w:rPr>
        <w:t>。</w:t>
      </w:r>
    </w:p>
    <w:p w14:paraId="137D7B78">
      <w:pPr>
        <w:spacing w:line="360" w:lineRule="auto"/>
        <w:ind w:firstLine="420"/>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2、验收标准：按行业通行标准和乙方响应文件的承诺（不低于国家相关标准）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如来苗不符合招标文件规定的相关标准，则甲方有权现场清退，乙方承担由此产生的全部费用。</w:t>
      </w:r>
    </w:p>
    <w:p w14:paraId="5A0D1C13">
      <w:pPr>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乙方应保证合同标的安全运达甲方指定地点，并进行布置</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、养护。</w:t>
      </w:r>
    </w:p>
    <w:p w14:paraId="79DD74A8">
      <w:pPr>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乙方在合同标的交付甲方48小时前</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通过书面形式向甲方提交验收申请，</w:t>
      </w:r>
      <w:r>
        <w:rPr>
          <w:rFonts w:hint="eastAsia" w:ascii="宋体" w:hAnsi="宋体" w:eastAsia="宋体" w:cs="宋体"/>
          <w:color w:val="auto"/>
          <w:sz w:val="24"/>
          <w:szCs w:val="24"/>
          <w:highlight w:val="none"/>
        </w:rPr>
        <w:t>通知甲方准备接收。</w:t>
      </w:r>
    </w:p>
    <w:p w14:paraId="3EAB9A73">
      <w:pPr>
        <w:spacing w:line="360" w:lineRule="auto"/>
        <w:ind w:firstLine="480"/>
        <w:rPr>
          <w:rFonts w:hint="eastAsia" w:ascii="宋体" w:hAnsi="宋体" w:eastAsia="宋体" w:cs="宋体"/>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5、由于建军路</w:t>
      </w:r>
      <w:r>
        <w:rPr>
          <w:rFonts w:hint="eastAsia" w:ascii="宋体" w:hAnsi="宋体" w:cs="宋体"/>
          <w:b/>
          <w:bCs/>
          <w:i w:val="0"/>
          <w:iCs w:val="0"/>
          <w:color w:val="auto"/>
          <w:sz w:val="24"/>
          <w:szCs w:val="24"/>
          <w:highlight w:val="none"/>
          <w:u w:val="none"/>
          <w:lang w:val="en-US" w:eastAsia="zh-CN"/>
        </w:rPr>
        <w:t>相关</w:t>
      </w:r>
      <w:r>
        <w:rPr>
          <w:rFonts w:hint="eastAsia" w:ascii="宋体" w:hAnsi="宋体" w:eastAsia="宋体" w:cs="宋体"/>
          <w:b/>
          <w:bCs/>
          <w:i w:val="0"/>
          <w:iCs w:val="0"/>
          <w:color w:val="auto"/>
          <w:sz w:val="24"/>
          <w:szCs w:val="24"/>
          <w:highlight w:val="none"/>
          <w:u w:val="none"/>
          <w:lang w:val="en-US" w:eastAsia="zh-CN"/>
        </w:rPr>
        <w:t>项目影响</w:t>
      </w:r>
      <w:r>
        <w:rPr>
          <w:rFonts w:hint="eastAsia" w:ascii="宋体" w:hAnsi="宋体" w:cs="宋体"/>
          <w:b/>
          <w:bCs/>
          <w:i w:val="0"/>
          <w:iCs w:val="0"/>
          <w:color w:val="auto"/>
          <w:sz w:val="24"/>
          <w:szCs w:val="24"/>
          <w:highlight w:val="none"/>
          <w:u w:val="none"/>
          <w:lang w:val="en-US" w:eastAsia="zh-CN"/>
        </w:rPr>
        <w:t>，本项目</w:t>
      </w:r>
      <w:r>
        <w:rPr>
          <w:rFonts w:hint="eastAsia" w:ascii="宋体" w:hAnsi="宋体" w:eastAsia="宋体" w:cs="宋体"/>
          <w:b/>
          <w:bCs/>
          <w:color w:val="auto"/>
          <w:sz w:val="24"/>
          <w:szCs w:val="24"/>
          <w:highlight w:val="none"/>
          <w:u w:val="none"/>
          <w:lang w:val="en-US" w:eastAsia="zh-CN"/>
        </w:rPr>
        <w:t>建军路（解放路—小洋河）</w:t>
      </w:r>
      <w:r>
        <w:rPr>
          <w:rFonts w:hint="eastAsia" w:ascii="宋体" w:hAnsi="宋体" w:cs="宋体"/>
          <w:b/>
          <w:bCs/>
          <w:color w:val="auto"/>
          <w:sz w:val="24"/>
          <w:szCs w:val="24"/>
          <w:highlight w:val="none"/>
          <w:u w:val="none"/>
          <w:lang w:val="en-US" w:eastAsia="zh-CN"/>
        </w:rPr>
        <w:t>区域</w:t>
      </w:r>
      <w:r>
        <w:rPr>
          <w:rFonts w:hint="eastAsia" w:ascii="宋体" w:hAnsi="宋体" w:eastAsia="宋体" w:cs="宋体"/>
          <w:b/>
          <w:bCs/>
          <w:i w:val="0"/>
          <w:iCs w:val="0"/>
          <w:color w:val="auto"/>
          <w:sz w:val="24"/>
          <w:szCs w:val="24"/>
          <w:highlight w:val="none"/>
          <w:u w:val="none"/>
          <w:lang w:val="en-US" w:eastAsia="zh-CN"/>
        </w:rPr>
        <w:t>草花第一遍布置时间为2026年春节前，其他区域</w:t>
      </w:r>
      <w:r>
        <w:rPr>
          <w:rFonts w:hint="eastAsia" w:ascii="宋体" w:hAnsi="宋体" w:cs="宋体"/>
          <w:b/>
          <w:bCs/>
          <w:i w:val="0"/>
          <w:iCs w:val="0"/>
          <w:color w:val="auto"/>
          <w:sz w:val="24"/>
          <w:szCs w:val="24"/>
          <w:highlight w:val="none"/>
          <w:u w:val="none"/>
          <w:lang w:val="en-US" w:eastAsia="zh-CN"/>
        </w:rPr>
        <w:t>第一遍布置时间为冬季，乙方须充分考虑季节气候因素布置，甲方</w:t>
      </w:r>
      <w:r>
        <w:rPr>
          <w:rFonts w:hint="eastAsia" w:ascii="宋体" w:hAnsi="宋体" w:eastAsia="宋体" w:cs="宋体"/>
          <w:b/>
          <w:bCs/>
          <w:i w:val="0"/>
          <w:iCs w:val="0"/>
          <w:color w:val="auto"/>
          <w:sz w:val="24"/>
          <w:szCs w:val="24"/>
          <w:highlight w:val="none"/>
          <w:u w:val="none"/>
          <w:lang w:val="en-US" w:eastAsia="zh-CN"/>
        </w:rPr>
        <w:t>不承担因此产生的任何费用。</w:t>
      </w:r>
    </w:p>
    <w:p w14:paraId="218EA878">
      <w:pPr>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条 履约保证金</w:t>
      </w:r>
    </w:p>
    <w:p w14:paraId="62E1C1AA">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提供履约担保的形式、金额及期限的：</w:t>
      </w:r>
      <w:r>
        <w:rPr>
          <w:rFonts w:hint="eastAsia" w:ascii="宋体" w:hAnsi="宋体" w:eastAsia="宋体" w:cs="宋体"/>
          <w:color w:val="auto"/>
          <w:sz w:val="24"/>
          <w:szCs w:val="24"/>
          <w:highlight w:val="none"/>
          <w:u w:val="single"/>
        </w:rPr>
        <w:t>中标人签订合同前向</w:t>
      </w:r>
      <w:r>
        <w:rPr>
          <w:rFonts w:hint="eastAsia" w:ascii="宋体" w:hAnsi="宋体" w:cs="宋体"/>
          <w:color w:val="auto"/>
          <w:sz w:val="24"/>
          <w:szCs w:val="24"/>
          <w:highlight w:val="none"/>
          <w:u w:val="single"/>
          <w:lang w:eastAsia="zh-CN"/>
        </w:rPr>
        <w:t>采购人</w:t>
      </w:r>
      <w:r>
        <w:rPr>
          <w:rFonts w:hint="eastAsia" w:ascii="宋体" w:hAnsi="宋体" w:eastAsia="宋体" w:cs="宋体"/>
          <w:color w:val="auto"/>
          <w:sz w:val="24"/>
          <w:szCs w:val="24"/>
          <w:highlight w:val="none"/>
          <w:u w:val="single"/>
        </w:rPr>
        <w:t>缴纳（大写）    元整（￥       元）履约</w:t>
      </w:r>
      <w:r>
        <w:rPr>
          <w:rFonts w:hint="eastAsia" w:ascii="宋体" w:hAnsi="宋体" w:eastAsia="宋体" w:cs="宋体"/>
          <w:bCs/>
          <w:color w:val="auto"/>
          <w:sz w:val="24"/>
          <w:szCs w:val="24"/>
          <w:highlight w:val="none"/>
          <w:u w:val="single"/>
        </w:rPr>
        <w:t>保证金。</w:t>
      </w:r>
    </w:p>
    <w:p w14:paraId="30E044A1">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r>
        <w:rPr>
          <w:rFonts w:hint="eastAsia" w:ascii="宋体" w:hAnsi="宋体" w:eastAsia="宋体" w:cs="宋体"/>
          <w:color w:val="auto"/>
          <w:sz w:val="24"/>
          <w:szCs w:val="21"/>
          <w:highlight w:val="none"/>
        </w:rPr>
        <w:t>履约保证金金额为合同金额的10%，</w:t>
      </w:r>
      <w:r>
        <w:rPr>
          <w:rFonts w:hint="eastAsia" w:ascii="宋体" w:hAnsi="宋体" w:cs="宋体"/>
          <w:color w:val="auto"/>
          <w:sz w:val="24"/>
          <w:szCs w:val="21"/>
          <w:highlight w:val="none"/>
          <w:lang w:eastAsia="zh-CN"/>
        </w:rPr>
        <w:t>甲方</w:t>
      </w:r>
      <w:r>
        <w:rPr>
          <w:rFonts w:hint="eastAsia" w:ascii="宋体" w:hAnsi="宋体" w:eastAsia="宋体" w:cs="宋体"/>
          <w:color w:val="auto"/>
          <w:sz w:val="24"/>
          <w:szCs w:val="21"/>
          <w:highlight w:val="none"/>
        </w:rPr>
        <w:t>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eastAsia="宋体" w:cs="宋体"/>
          <w:color w:val="auto"/>
          <w:sz w:val="24"/>
          <w:highlight w:val="none"/>
          <w:lang w:val="en-US" w:eastAsia="zh-CN"/>
        </w:rPr>
        <w:t>降低</w:t>
      </w:r>
      <w:r>
        <w:rPr>
          <w:rFonts w:hint="eastAsia" w:ascii="宋体" w:hAnsi="宋体" w:eastAsia="宋体" w:cs="宋体"/>
          <w:color w:val="auto"/>
          <w:sz w:val="24"/>
          <w:highlight w:val="none"/>
        </w:rPr>
        <w:t>履约保证金</w:t>
      </w:r>
      <w:r>
        <w:rPr>
          <w:rFonts w:hint="eastAsia" w:ascii="宋体" w:hAnsi="宋体" w:eastAsia="宋体" w:cs="宋体"/>
          <w:color w:val="auto"/>
          <w:sz w:val="24"/>
          <w:highlight w:val="none"/>
          <w:lang w:val="en-US" w:eastAsia="zh-CN"/>
        </w:rPr>
        <w:t>为5%</w:t>
      </w:r>
      <w:r>
        <w:rPr>
          <w:rFonts w:hint="eastAsia" w:ascii="宋体" w:hAnsi="宋体" w:eastAsia="宋体" w:cs="宋体"/>
          <w:bCs/>
          <w:color w:val="auto"/>
          <w:sz w:val="24"/>
          <w:szCs w:val="24"/>
          <w:highlight w:val="none"/>
        </w:rPr>
        <w:t>】</w:t>
      </w:r>
    </w:p>
    <w:p w14:paraId="060EBCD0">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1.1确需收取履约保证金的，履约保证金的缴纳形式：</w:t>
      </w:r>
    </w:p>
    <w:p w14:paraId="78CE053F">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683CB2B">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1.1.2如以履约保函（保险）形式缴纳履约保证金，供应商可通过政府采购电子履约保函（保险）平台（www.jsdzbh.com）在线申请履约保函（保险）。</w:t>
      </w:r>
    </w:p>
    <w:p w14:paraId="0A11CDC5">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1.2合同履行结束后，甲方应及时退还交纳的履约保证金。</w:t>
      </w:r>
    </w:p>
    <w:p w14:paraId="3F64BF0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1.3履约保证金的退还：</w:t>
      </w:r>
    </w:p>
    <w:p w14:paraId="0862F0D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1.3.1方式：无息退还至投标人缴纳履约保证金的账户。如为保函，在到期时自行失效。</w:t>
      </w:r>
    </w:p>
    <w:p w14:paraId="68D1D95B">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1.3.2时间：</w:t>
      </w:r>
      <w:r>
        <w:rPr>
          <w:rFonts w:hint="eastAsia" w:ascii="宋体" w:hAnsi="宋体" w:cs="宋体"/>
          <w:bCs/>
          <w:color w:val="auto"/>
          <w:sz w:val="24"/>
          <w:szCs w:val="24"/>
          <w:highlight w:val="none"/>
          <w:lang w:val="en-US" w:eastAsia="zh-CN"/>
        </w:rPr>
        <w:t>服务期满</w:t>
      </w:r>
      <w:r>
        <w:rPr>
          <w:rFonts w:hint="eastAsia" w:ascii="宋体" w:hAnsi="宋体" w:eastAsia="宋体" w:cs="宋体"/>
          <w:bCs/>
          <w:color w:val="auto"/>
          <w:sz w:val="24"/>
          <w:szCs w:val="24"/>
          <w:highlight w:val="none"/>
        </w:rPr>
        <w:t>且</w:t>
      </w:r>
      <w:r>
        <w:rPr>
          <w:rFonts w:hint="eastAsia" w:ascii="宋体" w:hAnsi="宋体" w:cs="宋体"/>
          <w:bCs/>
          <w:color w:val="auto"/>
          <w:sz w:val="24"/>
          <w:szCs w:val="24"/>
          <w:highlight w:val="none"/>
          <w:lang w:eastAsia="zh-CN"/>
        </w:rPr>
        <w:t>甲方</w:t>
      </w:r>
      <w:r>
        <w:rPr>
          <w:rFonts w:hint="eastAsia" w:ascii="宋体" w:hAnsi="宋体" w:eastAsia="宋体" w:cs="宋体"/>
          <w:bCs/>
          <w:color w:val="auto"/>
          <w:sz w:val="24"/>
          <w:szCs w:val="24"/>
          <w:highlight w:val="none"/>
        </w:rPr>
        <w:t>收到发票后30日内。</w:t>
      </w:r>
    </w:p>
    <w:p w14:paraId="21898D31">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1.3.3条件：按合同要求全部履约完成并经</w:t>
      </w:r>
      <w:r>
        <w:rPr>
          <w:rFonts w:hint="eastAsia" w:ascii="宋体" w:hAnsi="宋体" w:cs="宋体"/>
          <w:bCs/>
          <w:color w:val="auto"/>
          <w:sz w:val="24"/>
          <w:szCs w:val="24"/>
          <w:highlight w:val="none"/>
          <w:lang w:eastAsia="zh-CN"/>
        </w:rPr>
        <w:t>甲方</w:t>
      </w:r>
      <w:r>
        <w:rPr>
          <w:rFonts w:hint="eastAsia" w:ascii="宋体" w:hAnsi="宋体" w:eastAsia="宋体" w:cs="宋体"/>
          <w:bCs/>
          <w:color w:val="auto"/>
          <w:sz w:val="24"/>
          <w:szCs w:val="24"/>
          <w:highlight w:val="none"/>
        </w:rPr>
        <w:t>验收合格。</w:t>
      </w:r>
    </w:p>
    <w:p w14:paraId="5C668EB6">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1.3.4不予退还情形：</w:t>
      </w:r>
    </w:p>
    <w:p w14:paraId="771F8CE2">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除不可抗力情况外，</w:t>
      </w:r>
      <w:r>
        <w:rPr>
          <w:rFonts w:hint="eastAsia" w:ascii="宋体" w:hAnsi="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人出现下列情形之一的，其履约保证金，</w:t>
      </w:r>
      <w:r>
        <w:rPr>
          <w:rFonts w:hint="eastAsia" w:ascii="宋体" w:hAnsi="宋体" w:cs="宋体"/>
          <w:bCs/>
          <w:color w:val="auto"/>
          <w:sz w:val="24"/>
          <w:szCs w:val="24"/>
          <w:highlight w:val="none"/>
          <w:lang w:eastAsia="zh-CN"/>
        </w:rPr>
        <w:t>采购人</w:t>
      </w:r>
      <w:r>
        <w:rPr>
          <w:rFonts w:hint="eastAsia" w:ascii="宋体" w:hAnsi="宋体" w:eastAsia="宋体" w:cs="宋体"/>
          <w:bCs/>
          <w:color w:val="auto"/>
          <w:sz w:val="24"/>
          <w:szCs w:val="24"/>
          <w:highlight w:val="none"/>
        </w:rPr>
        <w:t>将视情节决定不予退还或部分不予退还。</w:t>
      </w:r>
    </w:p>
    <w:p w14:paraId="224EE2F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（1）中标人无正当理由拒绝签订合同的，或者在签订合同时向</w:t>
      </w:r>
      <w:r>
        <w:rPr>
          <w:rFonts w:hint="eastAsia" w:ascii="宋体" w:hAnsi="宋体" w:cs="宋体"/>
          <w:bCs/>
          <w:color w:val="auto"/>
          <w:sz w:val="24"/>
          <w:szCs w:val="24"/>
          <w:highlight w:val="none"/>
          <w:lang w:eastAsia="zh-CN"/>
        </w:rPr>
        <w:t>甲方</w:t>
      </w:r>
      <w:r>
        <w:rPr>
          <w:rFonts w:hint="eastAsia" w:ascii="宋体" w:hAnsi="宋体" w:eastAsia="宋体" w:cs="宋体"/>
          <w:bCs/>
          <w:color w:val="auto"/>
          <w:sz w:val="24"/>
          <w:szCs w:val="24"/>
          <w:highlight w:val="none"/>
        </w:rPr>
        <w:t>提出附加条件或者更改合同实质性内容要求的；</w:t>
      </w:r>
    </w:p>
    <w:p w14:paraId="71CBE550">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（2）中标人不履行与</w:t>
      </w:r>
      <w:r>
        <w:rPr>
          <w:rFonts w:hint="eastAsia" w:ascii="宋体" w:hAnsi="宋体" w:cs="宋体"/>
          <w:bCs/>
          <w:color w:val="auto"/>
          <w:sz w:val="24"/>
          <w:szCs w:val="24"/>
          <w:highlight w:val="none"/>
          <w:lang w:eastAsia="zh-CN"/>
        </w:rPr>
        <w:t>甲方</w:t>
      </w:r>
      <w:r>
        <w:rPr>
          <w:rFonts w:hint="eastAsia" w:ascii="宋体" w:hAnsi="宋体" w:eastAsia="宋体" w:cs="宋体"/>
          <w:bCs/>
          <w:color w:val="auto"/>
          <w:sz w:val="24"/>
          <w:szCs w:val="24"/>
          <w:highlight w:val="none"/>
        </w:rPr>
        <w:t>订立的合同的；</w:t>
      </w:r>
    </w:p>
    <w:p w14:paraId="68F9CFA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（3）中标人所供货物或服务不符合招标文件规定要求的；</w:t>
      </w:r>
    </w:p>
    <w:p w14:paraId="24E0CD1B">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（4）中标人采取欺骗、弄虚作假方式投标的或与其它投标人串通投标的；</w:t>
      </w:r>
    </w:p>
    <w:p w14:paraId="18468C79">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（5）中标人将合同内容转包、违法分包的；</w:t>
      </w:r>
    </w:p>
    <w:p w14:paraId="1C7CB3EE">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（6）中标人故意捏造事实或伪造证明材料，进行虚假恶意投诉或反映的。</w:t>
      </w:r>
    </w:p>
    <w:p w14:paraId="61E6B684">
      <w:pPr>
        <w:spacing w:line="360" w:lineRule="auto"/>
        <w:ind w:firstLine="422"/>
        <w:jc w:val="left"/>
        <w:rPr>
          <w:rFonts w:hint="eastAsia" w:ascii="宋体" w:hAnsi="宋体" w:eastAsia="宋体" w:cs="宋体"/>
          <w:b/>
          <w:bCs/>
          <w:i/>
          <w:i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条 合同款支付</w:t>
      </w:r>
    </w:p>
    <w:p w14:paraId="492176E3">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预付款支付比例或金额：签约合同价的30%。</w:t>
      </w:r>
    </w:p>
    <w:p w14:paraId="249D0787">
      <w:pPr>
        <w:keepNext w:val="0"/>
        <w:keepLines w:val="0"/>
        <w:pageBreakBefore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预付款支付期限：合同签订后，</w:t>
      </w:r>
      <w:r>
        <w:rPr>
          <w:rFonts w:hint="default" w:ascii="宋体" w:hAnsi="宋体" w:eastAsia="宋体" w:cs="宋体"/>
          <w:color w:val="auto"/>
          <w:sz w:val="24"/>
          <w:szCs w:val="24"/>
          <w:highlight w:val="none"/>
          <w:lang w:val="en-US" w:eastAsia="zh-CN"/>
        </w:rPr>
        <w:t>甲方在收到乙方提供的</w:t>
      </w:r>
      <w:r>
        <w:rPr>
          <w:rFonts w:hint="eastAsia" w:ascii="宋体" w:hAnsi="宋体" w:eastAsia="宋体" w:cs="宋体"/>
          <w:color w:val="auto"/>
          <w:sz w:val="24"/>
          <w:szCs w:val="24"/>
          <w:highlight w:val="none"/>
          <w:lang w:val="en-US" w:eastAsia="zh-CN"/>
        </w:rPr>
        <w:t xml:space="preserve">发票 </w:t>
      </w:r>
      <w:r>
        <w:rPr>
          <w:rFonts w:hint="default" w:ascii="宋体" w:hAnsi="宋体" w:eastAsia="宋体" w:cs="宋体"/>
          <w:color w:val="auto"/>
          <w:sz w:val="24"/>
          <w:szCs w:val="24"/>
          <w:highlight w:val="none"/>
          <w:lang w:val="en-US" w:eastAsia="zh-CN"/>
        </w:rPr>
        <w:t xml:space="preserve">10 </w:t>
      </w:r>
      <w:r>
        <w:rPr>
          <w:rFonts w:hint="eastAsia" w:ascii="宋体" w:hAnsi="宋体" w:eastAsia="宋体" w:cs="宋体"/>
          <w:color w:val="auto"/>
          <w:sz w:val="24"/>
          <w:szCs w:val="24"/>
          <w:highlight w:val="none"/>
          <w:lang w:val="en-US" w:eastAsia="zh-CN"/>
        </w:rPr>
        <w:t xml:space="preserve">个工作日内审核无误，支付合同金额的 </w:t>
      </w:r>
      <w:r>
        <w:rPr>
          <w:rFonts w:hint="default"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val="en-US" w:eastAsia="zh-CN"/>
        </w:rPr>
        <w:t>作为预付款</w:t>
      </w:r>
      <w:r>
        <w:rPr>
          <w:rFonts w:hint="eastAsia" w:ascii="宋体" w:hAnsi="宋体" w:cs="宋体"/>
          <w:color w:val="auto"/>
          <w:sz w:val="24"/>
          <w:szCs w:val="24"/>
          <w:highlight w:val="none"/>
          <w:lang w:val="en-US" w:eastAsia="zh-CN"/>
        </w:rPr>
        <w:t>。</w:t>
      </w:r>
    </w:p>
    <w:p w14:paraId="4DA65E33">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首次花卉更换不付款，其</w:t>
      </w:r>
      <w:r>
        <w:rPr>
          <w:rFonts w:hint="eastAsia" w:ascii="宋体" w:hAnsi="宋体" w:cs="宋体"/>
          <w:color w:val="auto"/>
          <w:sz w:val="24"/>
          <w:szCs w:val="24"/>
          <w:highlight w:val="none"/>
          <w:lang w:val="en-US" w:eastAsia="zh-CN"/>
        </w:rPr>
        <w:t>后</w:t>
      </w:r>
      <w:r>
        <w:rPr>
          <w:rFonts w:hint="eastAsia" w:ascii="宋体" w:hAnsi="宋体" w:eastAsia="宋体" w:cs="宋体"/>
          <w:color w:val="auto"/>
          <w:sz w:val="24"/>
          <w:szCs w:val="24"/>
          <w:highlight w:val="none"/>
        </w:rPr>
        <w:t>每更换一次，经验收合格后付至已完成工作量初审价80%（含30%预付款），花卉最终更换时，经验收合格，且下一轮</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单位进场，出具</w:t>
      </w:r>
      <w:r>
        <w:rPr>
          <w:rFonts w:hint="eastAsia" w:ascii="宋体" w:hAnsi="宋体" w:cs="宋体"/>
          <w:color w:val="auto"/>
          <w:sz w:val="24"/>
          <w:szCs w:val="24"/>
          <w:highlight w:val="none"/>
          <w:lang w:val="en-US" w:eastAsia="zh-CN"/>
        </w:rPr>
        <w:t>审计</w:t>
      </w:r>
      <w:r>
        <w:rPr>
          <w:rFonts w:hint="eastAsia" w:ascii="宋体" w:hAnsi="宋体" w:eastAsia="宋体" w:cs="宋体"/>
          <w:color w:val="auto"/>
          <w:sz w:val="24"/>
          <w:szCs w:val="24"/>
          <w:highlight w:val="none"/>
        </w:rPr>
        <w:t>报告，</w:t>
      </w:r>
      <w:r>
        <w:rPr>
          <w:rFonts w:hint="eastAsia" w:ascii="宋体" w:hAnsi="宋体" w:cs="宋体"/>
          <w:color w:val="auto"/>
          <w:sz w:val="24"/>
          <w:szCs w:val="24"/>
          <w:highlight w:val="none"/>
          <w:lang w:val="en-US" w:eastAsia="zh-CN"/>
        </w:rPr>
        <w:t>甲方结清余款。</w:t>
      </w:r>
    </w:p>
    <w:p w14:paraId="2CB647DA">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项目实施过程中甲方每要求乙方更换一次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除首次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指定时令花卉支付一次费用（该费用以第三方跟踪审计确认的价格为准，如应付金额未超出预付款则不予支付，如超出则支付超出部分费用）。</w:t>
      </w:r>
    </w:p>
    <w:p w14:paraId="73214DA9">
      <w:pPr>
        <w:keepNext w:val="0"/>
        <w:keepLines w:val="0"/>
        <w:pageBreakBefore w:val="0"/>
        <w:kinsoku/>
        <w:wordWrap/>
        <w:overflowPunct/>
        <w:topLinePunct w:val="0"/>
        <w:autoSpaceDE/>
        <w:autoSpaceDN/>
        <w:bidi w:val="0"/>
        <w:adjustRightInd/>
        <w:snapToGrid w:val="0"/>
        <w:spacing w:line="360" w:lineRule="auto"/>
        <w:ind w:firstLine="787" w:firstLineChars="328"/>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乙方须及时提供完整齐全的结算资料，因乙方未能及时提交书面的结算资料而影响支付款</w:t>
      </w:r>
      <w:r>
        <w:rPr>
          <w:rFonts w:hint="eastAsia" w:ascii="宋体" w:hAnsi="宋体" w:eastAsia="宋体" w:cs="宋体"/>
          <w:color w:val="auto"/>
          <w:sz w:val="24"/>
          <w:szCs w:val="24"/>
          <w:highlight w:val="none"/>
          <w:lang w:val="en-US" w:eastAsia="zh-CN"/>
        </w:rPr>
        <w:t>项</w:t>
      </w:r>
      <w:r>
        <w:rPr>
          <w:rFonts w:hint="eastAsia" w:ascii="宋体" w:hAnsi="宋体" w:eastAsia="宋体" w:cs="宋体"/>
          <w:color w:val="auto"/>
          <w:sz w:val="24"/>
          <w:szCs w:val="24"/>
          <w:highlight w:val="none"/>
        </w:rPr>
        <w:t>的，结果自负。以上付款不计息。</w:t>
      </w:r>
    </w:p>
    <w:p w14:paraId="1C67B173">
      <w:pPr>
        <w:pStyle w:val="248"/>
        <w:keepNext w:val="0"/>
        <w:keepLines w:val="0"/>
        <w:pageBreakBefore w:val="0"/>
        <w:tabs>
          <w:tab w:val="left" w:pos="525"/>
        </w:tabs>
        <w:kinsoku/>
        <w:wordWrap/>
        <w:overflowPunct/>
        <w:topLinePunct w:val="0"/>
        <w:autoSpaceDE/>
        <w:autoSpaceDN/>
        <w:bidi w:val="0"/>
        <w:adjustRightInd/>
        <w:snapToGrid w:val="0"/>
        <w:spacing w:line="360" w:lineRule="auto"/>
        <w:ind w:left="0" w:firstLine="480"/>
        <w:textAlignment w:val="auto"/>
        <w:rPr>
          <w:rFonts w:hint="default" w:cs="宋体"/>
          <w:color w:val="auto"/>
          <w:sz w:val="24"/>
          <w:szCs w:val="24"/>
          <w:highlight w:val="none"/>
          <w:lang w:val="en-US" w:eastAsia="zh-CN"/>
        </w:rPr>
      </w:pPr>
      <w:r>
        <w:rPr>
          <w:rFonts w:hint="eastAsia" w:cs="宋体"/>
          <w:b/>
          <w:bCs/>
          <w:color w:val="auto"/>
          <w:sz w:val="24"/>
          <w:szCs w:val="24"/>
          <w:highlight w:val="none"/>
          <w:lang w:val="en-US" w:eastAsia="zh-CN"/>
        </w:rPr>
        <w:t>4、乙方须按甲方提供的设计方案布置，如有变动应书面向甲方提出申请，并征得甲方同意。</w:t>
      </w:r>
    </w:p>
    <w:p w14:paraId="44ABEF4B">
      <w:pPr>
        <w:pStyle w:val="248"/>
        <w:keepNext w:val="0"/>
        <w:keepLines w:val="0"/>
        <w:pageBreakBefore w:val="0"/>
        <w:tabs>
          <w:tab w:val="left" w:pos="525"/>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采用</w:t>
      </w:r>
      <w:r>
        <w:rPr>
          <w:rFonts w:hint="eastAsia" w:cs="宋体"/>
          <w:color w:val="auto"/>
          <w:sz w:val="24"/>
          <w:szCs w:val="24"/>
          <w:highlight w:val="none"/>
          <w:lang w:val="en-US" w:eastAsia="zh-CN"/>
        </w:rPr>
        <w:t>全费用综合</w:t>
      </w:r>
      <w:r>
        <w:rPr>
          <w:rFonts w:hint="eastAsia" w:ascii="宋体" w:hAnsi="宋体" w:eastAsia="宋体" w:cs="宋体"/>
          <w:color w:val="auto"/>
          <w:sz w:val="24"/>
          <w:szCs w:val="24"/>
          <w:highlight w:val="none"/>
        </w:rPr>
        <w:t>单价合同，合同实施过程中</w:t>
      </w:r>
      <w:r>
        <w:rPr>
          <w:rFonts w:hint="eastAsia" w:cs="宋体"/>
          <w:color w:val="auto"/>
          <w:sz w:val="24"/>
          <w:szCs w:val="24"/>
          <w:highlight w:val="none"/>
          <w:lang w:val="en-US" w:eastAsia="zh-CN"/>
        </w:rPr>
        <w:t>全费用综合</w:t>
      </w:r>
      <w:r>
        <w:rPr>
          <w:rFonts w:hint="eastAsia" w:ascii="宋体" w:hAnsi="宋体" w:eastAsia="宋体" w:cs="宋体"/>
          <w:color w:val="auto"/>
          <w:sz w:val="24"/>
          <w:szCs w:val="24"/>
          <w:highlight w:val="none"/>
        </w:rPr>
        <w:t>单价不作调整。</w:t>
      </w:r>
    </w:p>
    <w:p w14:paraId="11515C68">
      <w:pPr>
        <w:pStyle w:val="23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
          <w:bCs/>
          <w:color w:val="auto"/>
          <w:sz w:val="24"/>
          <w:szCs w:val="24"/>
          <w:highlight w:val="none"/>
          <w:lang w:val="en-US" w:eastAsia="zh-CN"/>
        </w:rPr>
      </w:pP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rPr>
        <w:t>结算方式为:结算价=</w:t>
      </w:r>
      <w:r>
        <w:rPr>
          <w:rFonts w:hint="eastAsia" w:hAnsi="宋体" w:cs="宋体"/>
          <w:color w:val="auto"/>
          <w:sz w:val="24"/>
          <w:szCs w:val="24"/>
          <w:highlight w:val="none"/>
          <w:lang w:val="en-US" w:eastAsia="zh-CN"/>
        </w:rPr>
        <w:t>实际合同价款</w:t>
      </w:r>
      <w:r>
        <w:rPr>
          <w:rFonts w:hint="eastAsia" w:ascii="宋体" w:hAnsi="宋体" w:eastAsia="宋体" w:cs="宋体"/>
          <w:color w:val="auto"/>
          <w:sz w:val="24"/>
          <w:szCs w:val="24"/>
          <w:highlight w:val="none"/>
          <w:lang w:val="en-US" w:eastAsia="zh-CN"/>
        </w:rPr>
        <w:t>-违约扣款</w:t>
      </w:r>
      <w:r>
        <w:rPr>
          <w:rFonts w:hint="eastAsia" w:ascii="宋体" w:hAnsi="宋体" w:eastAsia="宋体" w:cs="宋体"/>
          <w:color w:val="auto"/>
          <w:sz w:val="24"/>
          <w:szCs w:val="24"/>
          <w:highlight w:val="none"/>
        </w:rPr>
        <w:t>。若无相关设计变更，除本招标文件及</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合同约定允许调整外中标的</w:t>
      </w:r>
      <w:r>
        <w:rPr>
          <w:rFonts w:hint="eastAsia" w:hAnsi="宋体" w:cs="宋体"/>
          <w:color w:val="auto"/>
          <w:sz w:val="24"/>
          <w:szCs w:val="24"/>
          <w:highlight w:val="none"/>
          <w:lang w:val="en-US" w:eastAsia="zh-CN"/>
        </w:rPr>
        <w:t>全费用</w:t>
      </w:r>
      <w:r>
        <w:rPr>
          <w:rFonts w:hint="eastAsia" w:ascii="宋体" w:hAnsi="宋体" w:eastAsia="宋体" w:cs="宋体"/>
          <w:color w:val="auto"/>
          <w:sz w:val="24"/>
          <w:szCs w:val="24"/>
          <w:highlight w:val="none"/>
        </w:rPr>
        <w:t>综合单价不予调整，工</w:t>
      </w:r>
      <w:r>
        <w:rPr>
          <w:rFonts w:hint="eastAsia" w:ascii="宋体" w:hAnsi="宋体" w:eastAsia="宋体" w:cs="宋体"/>
          <w:color w:val="auto"/>
          <w:sz w:val="24"/>
          <w:szCs w:val="24"/>
          <w:highlight w:val="none"/>
          <w:lang w:val="en-US" w:eastAsia="zh-CN"/>
        </w:rPr>
        <w:t>作</w:t>
      </w:r>
      <w:r>
        <w:rPr>
          <w:rFonts w:hint="eastAsia" w:ascii="宋体" w:hAnsi="宋体" w:eastAsia="宋体" w:cs="宋体"/>
          <w:color w:val="auto"/>
          <w:sz w:val="24"/>
          <w:szCs w:val="24"/>
          <w:highlight w:val="none"/>
        </w:rPr>
        <w:t>量按</w:t>
      </w:r>
      <w:r>
        <w:rPr>
          <w:rFonts w:hint="eastAsia" w:hAnsi="宋体" w:cs="宋体"/>
          <w:color w:val="auto"/>
          <w:sz w:val="24"/>
          <w:szCs w:val="24"/>
          <w:highlight w:val="none"/>
          <w:lang w:eastAsia="zh-CN"/>
        </w:rPr>
        <w:t>甲方</w:t>
      </w:r>
      <w:r>
        <w:rPr>
          <w:rFonts w:hint="eastAsia" w:ascii="宋体" w:hAnsi="宋体" w:eastAsia="宋体" w:cs="宋体"/>
          <w:color w:val="auto"/>
          <w:sz w:val="24"/>
          <w:szCs w:val="24"/>
          <w:highlight w:val="none"/>
        </w:rPr>
        <w:t>确认的工</w:t>
      </w:r>
      <w:r>
        <w:rPr>
          <w:rFonts w:hint="eastAsia" w:hAnsi="宋体" w:cs="宋体"/>
          <w:color w:val="auto"/>
          <w:sz w:val="24"/>
          <w:szCs w:val="24"/>
          <w:highlight w:val="none"/>
          <w:lang w:val="en-US" w:eastAsia="zh-CN"/>
        </w:rPr>
        <w:t>作</w:t>
      </w:r>
      <w:r>
        <w:rPr>
          <w:rFonts w:hint="eastAsia" w:ascii="宋体" w:hAnsi="宋体" w:eastAsia="宋体" w:cs="宋体"/>
          <w:color w:val="auto"/>
          <w:sz w:val="24"/>
          <w:szCs w:val="24"/>
          <w:highlight w:val="none"/>
        </w:rPr>
        <w:t>量进行结算。最终以</w:t>
      </w:r>
      <w:r>
        <w:rPr>
          <w:rFonts w:hint="eastAsia" w:hAnsi="宋体" w:cs="宋体"/>
          <w:color w:val="auto"/>
          <w:sz w:val="24"/>
          <w:szCs w:val="24"/>
          <w:highlight w:val="none"/>
          <w:lang w:val="en-US" w:eastAsia="zh-CN"/>
        </w:rPr>
        <w:t>审计单位</w:t>
      </w:r>
      <w:r>
        <w:rPr>
          <w:rFonts w:hint="eastAsia" w:ascii="宋体" w:hAnsi="宋体" w:eastAsia="宋体" w:cs="宋体"/>
          <w:color w:val="auto"/>
          <w:sz w:val="24"/>
          <w:szCs w:val="24"/>
          <w:highlight w:val="none"/>
        </w:rPr>
        <w:t>审查确认后的结算价为准。（如审定价高于合同价</w:t>
      </w:r>
      <w:r>
        <w:rPr>
          <w:rFonts w:hint="eastAsia" w:ascii="宋体" w:hAnsi="宋体" w:cs="宋体"/>
          <w:color w:val="auto"/>
          <w:sz w:val="24"/>
          <w:szCs w:val="24"/>
          <w:highlight w:val="none"/>
          <w:lang w:val="en-US" w:eastAsia="zh-CN"/>
        </w:rPr>
        <w:t>款</w:t>
      </w:r>
      <w:r>
        <w:rPr>
          <w:rFonts w:hint="eastAsia" w:ascii="宋体" w:hAnsi="宋体" w:eastAsia="宋体" w:cs="宋体"/>
          <w:color w:val="auto"/>
          <w:sz w:val="24"/>
          <w:szCs w:val="24"/>
          <w:highlight w:val="none"/>
        </w:rPr>
        <w:t>，按照合同价</w:t>
      </w:r>
      <w:r>
        <w:rPr>
          <w:rFonts w:hint="eastAsia" w:ascii="宋体" w:hAnsi="宋体" w:cs="宋体"/>
          <w:color w:val="auto"/>
          <w:sz w:val="24"/>
          <w:szCs w:val="24"/>
          <w:highlight w:val="none"/>
          <w:lang w:val="en-US" w:eastAsia="zh-CN"/>
        </w:rPr>
        <w:t>款</w:t>
      </w:r>
      <w:r>
        <w:rPr>
          <w:rFonts w:hint="eastAsia" w:ascii="宋体" w:hAnsi="宋体" w:eastAsia="宋体" w:cs="宋体"/>
          <w:color w:val="auto"/>
          <w:sz w:val="24"/>
          <w:szCs w:val="24"/>
          <w:highlight w:val="none"/>
        </w:rPr>
        <w:t>结算）</w:t>
      </w:r>
      <w:r>
        <w:rPr>
          <w:rFonts w:hint="eastAsia" w:hAnsi="宋体" w:cs="宋体"/>
          <w:color w:val="auto"/>
          <w:sz w:val="24"/>
          <w:szCs w:val="24"/>
          <w:highlight w:val="none"/>
          <w:lang w:eastAsia="zh-CN"/>
        </w:rPr>
        <w:t>。</w:t>
      </w:r>
    </w:p>
    <w:p w14:paraId="1AAD6BE3">
      <w:pPr>
        <w:pStyle w:val="248"/>
        <w:keepNext w:val="0"/>
        <w:keepLines w:val="0"/>
        <w:pageBreakBefore w:val="0"/>
        <w:tabs>
          <w:tab w:val="left" w:pos="525"/>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宋体"/>
          <w:color w:val="auto"/>
          <w:highlight w:val="none"/>
        </w:rPr>
      </w:pP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rPr>
        <w:t>项目实施期间材料价格风险由乙方承担，甲方不再调整本</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所用的设备材料价差。</w:t>
      </w:r>
    </w:p>
    <w:p w14:paraId="19CE8C54">
      <w:pPr>
        <w:pStyle w:val="248"/>
        <w:keepNext w:val="0"/>
        <w:keepLines w:val="0"/>
        <w:pageBreakBefore w:val="0"/>
        <w:tabs>
          <w:tab w:val="left" w:pos="525"/>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8、服务</w:t>
      </w:r>
      <w:r>
        <w:rPr>
          <w:rFonts w:hint="eastAsia" w:ascii="宋体" w:hAnsi="宋体" w:eastAsia="宋体" w:cs="宋体"/>
          <w:color w:val="auto"/>
          <w:sz w:val="24"/>
          <w:szCs w:val="24"/>
          <w:highlight w:val="none"/>
        </w:rPr>
        <w:t>期间，政策性调整(包括人工工资)一律不予执行。</w:t>
      </w:r>
    </w:p>
    <w:p w14:paraId="6076EAAE">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乙方要对提交的结算质量负责，审计核减率不得超过5%，如超过5%，乙方承担全部审计费用；如超过20%，除承担审计费外，还将按相关文件规定由监管部门追究相关单位和人员的责任。</w:t>
      </w:r>
    </w:p>
    <w:p w14:paraId="229F704C">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已完成合格</w:t>
      </w:r>
      <w:r>
        <w:rPr>
          <w:rFonts w:hint="eastAsia" w:ascii="宋体" w:hAnsi="宋体" w:eastAsia="宋体" w:cs="宋体"/>
          <w:color w:val="auto"/>
          <w:sz w:val="24"/>
          <w:szCs w:val="24"/>
          <w:highlight w:val="none"/>
          <w:lang w:val="en-US" w:eastAsia="zh-CN"/>
        </w:rPr>
        <w:t>工作</w:t>
      </w:r>
      <w:r>
        <w:rPr>
          <w:rFonts w:hint="eastAsia" w:ascii="宋体" w:hAnsi="宋体" w:eastAsia="宋体" w:cs="宋体"/>
          <w:color w:val="auto"/>
          <w:sz w:val="24"/>
          <w:szCs w:val="24"/>
          <w:highlight w:val="none"/>
        </w:rPr>
        <w:t>量的确认程序：由乙方向甲方和本</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val="en-US" w:eastAsia="zh-CN"/>
        </w:rPr>
        <w:t>审计</w:t>
      </w:r>
      <w:r>
        <w:rPr>
          <w:rFonts w:hint="eastAsia" w:ascii="宋体" w:hAnsi="宋体" w:eastAsia="宋体" w:cs="宋体"/>
          <w:color w:val="auto"/>
          <w:sz w:val="24"/>
          <w:szCs w:val="24"/>
          <w:highlight w:val="none"/>
        </w:rPr>
        <w:t>单位同时申报已完成的合格</w:t>
      </w:r>
      <w:r>
        <w:rPr>
          <w:rFonts w:hint="eastAsia" w:ascii="宋体" w:hAnsi="宋体" w:eastAsia="宋体" w:cs="宋体"/>
          <w:color w:val="auto"/>
          <w:sz w:val="24"/>
          <w:szCs w:val="24"/>
          <w:highlight w:val="none"/>
          <w:lang w:val="en-US" w:eastAsia="zh-CN"/>
        </w:rPr>
        <w:t>工作</w:t>
      </w:r>
      <w:r>
        <w:rPr>
          <w:rFonts w:hint="eastAsia" w:ascii="宋体" w:hAnsi="宋体" w:eastAsia="宋体" w:cs="宋体"/>
          <w:color w:val="auto"/>
          <w:sz w:val="24"/>
          <w:szCs w:val="24"/>
          <w:highlight w:val="none"/>
        </w:rPr>
        <w:t>量，</w:t>
      </w:r>
      <w:r>
        <w:rPr>
          <w:rFonts w:hint="eastAsia" w:ascii="宋体" w:hAnsi="宋体" w:cs="宋体"/>
          <w:color w:val="auto"/>
          <w:sz w:val="24"/>
          <w:szCs w:val="24"/>
          <w:highlight w:val="none"/>
          <w:lang w:val="en-US" w:eastAsia="zh-CN"/>
        </w:rPr>
        <w:t>审计</w:t>
      </w:r>
      <w:r>
        <w:rPr>
          <w:rFonts w:hint="eastAsia" w:ascii="宋体" w:hAnsi="宋体" w:eastAsia="宋体" w:cs="宋体"/>
          <w:color w:val="auto"/>
          <w:sz w:val="24"/>
          <w:szCs w:val="24"/>
          <w:highlight w:val="none"/>
        </w:rPr>
        <w:t>单位接到申报</w:t>
      </w:r>
      <w:r>
        <w:rPr>
          <w:rFonts w:hint="eastAsia" w:ascii="宋体" w:hAnsi="宋体" w:eastAsia="宋体" w:cs="宋体"/>
          <w:color w:val="auto"/>
          <w:sz w:val="24"/>
          <w:szCs w:val="24"/>
          <w:highlight w:val="none"/>
          <w:lang w:val="en-US" w:eastAsia="zh-CN"/>
        </w:rPr>
        <w:t>工作</w:t>
      </w:r>
      <w:r>
        <w:rPr>
          <w:rFonts w:hint="eastAsia" w:ascii="宋体" w:hAnsi="宋体" w:eastAsia="宋体" w:cs="宋体"/>
          <w:color w:val="auto"/>
          <w:sz w:val="24"/>
          <w:szCs w:val="24"/>
          <w:highlight w:val="none"/>
        </w:rPr>
        <w:t>量后</w:t>
      </w:r>
      <w:r>
        <w:rPr>
          <w:rFonts w:hint="eastAsia" w:ascii="宋体" w:hAnsi="宋体" w:cs="宋体"/>
          <w:color w:val="auto"/>
          <w:sz w:val="24"/>
          <w:szCs w:val="24"/>
          <w:highlight w:val="none"/>
          <w:lang w:val="en-US" w:eastAsia="zh-CN"/>
        </w:rPr>
        <w:t>及时</w:t>
      </w:r>
      <w:r>
        <w:rPr>
          <w:rFonts w:hint="eastAsia" w:ascii="宋体" w:hAnsi="宋体" w:eastAsia="宋体" w:cs="宋体"/>
          <w:color w:val="auto"/>
          <w:sz w:val="24"/>
          <w:szCs w:val="24"/>
          <w:highlight w:val="none"/>
        </w:rPr>
        <w:t>核算并加盖单位公章后向</w:t>
      </w:r>
      <w:r>
        <w:rPr>
          <w:rFonts w:hint="eastAsia" w:ascii="宋体" w:hAnsi="宋体" w:cs="宋体"/>
          <w:color w:val="auto"/>
          <w:sz w:val="24"/>
          <w:szCs w:val="24"/>
          <w:highlight w:val="none"/>
          <w:lang w:eastAsia="zh-CN"/>
        </w:rPr>
        <w:t>甲方</w:t>
      </w:r>
      <w:r>
        <w:rPr>
          <w:rFonts w:hint="eastAsia" w:ascii="宋体" w:hAnsi="宋体" w:eastAsia="宋体" w:cs="宋体"/>
          <w:color w:val="auto"/>
          <w:sz w:val="24"/>
          <w:szCs w:val="24"/>
          <w:highlight w:val="none"/>
        </w:rPr>
        <w:t>相关部门申请确认，该已完成合格</w:t>
      </w:r>
      <w:r>
        <w:rPr>
          <w:rFonts w:hint="eastAsia" w:ascii="宋体" w:hAnsi="宋体" w:eastAsia="宋体" w:cs="宋体"/>
          <w:color w:val="auto"/>
          <w:sz w:val="24"/>
          <w:szCs w:val="24"/>
          <w:highlight w:val="none"/>
          <w:lang w:val="en-US" w:eastAsia="zh-CN"/>
        </w:rPr>
        <w:t>工作</w:t>
      </w:r>
      <w:r>
        <w:rPr>
          <w:rFonts w:hint="eastAsia" w:ascii="宋体" w:hAnsi="宋体" w:eastAsia="宋体" w:cs="宋体"/>
          <w:color w:val="auto"/>
          <w:sz w:val="24"/>
          <w:szCs w:val="24"/>
          <w:highlight w:val="none"/>
        </w:rPr>
        <w:t>量的确认结果须由甲方代表和本</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总</w:t>
      </w:r>
      <w:r>
        <w:rPr>
          <w:rFonts w:hint="eastAsia" w:ascii="宋体" w:hAnsi="宋体" w:cs="宋体"/>
          <w:color w:val="auto"/>
          <w:sz w:val="24"/>
          <w:szCs w:val="24"/>
          <w:highlight w:val="none"/>
          <w:lang w:eastAsia="zh-CN"/>
        </w:rPr>
        <w:t>监理</w:t>
      </w:r>
      <w:r>
        <w:rPr>
          <w:rFonts w:hint="eastAsia" w:ascii="宋体" w:hAnsi="宋体" w:eastAsia="宋体" w:cs="宋体"/>
          <w:color w:val="auto"/>
          <w:sz w:val="24"/>
          <w:szCs w:val="24"/>
          <w:highlight w:val="none"/>
        </w:rPr>
        <w:t>签字并加盖单位公章后生效。对乙方超出范围和因自身原因造成返工的</w:t>
      </w:r>
      <w:r>
        <w:rPr>
          <w:rFonts w:hint="eastAsia" w:ascii="宋体" w:hAnsi="宋体" w:eastAsia="宋体" w:cs="宋体"/>
          <w:color w:val="auto"/>
          <w:sz w:val="24"/>
          <w:szCs w:val="24"/>
          <w:highlight w:val="none"/>
          <w:lang w:val="en-US" w:eastAsia="zh-CN"/>
        </w:rPr>
        <w:t>工作</w:t>
      </w:r>
      <w:r>
        <w:rPr>
          <w:rFonts w:hint="eastAsia" w:ascii="宋体" w:hAnsi="宋体" w:eastAsia="宋体" w:cs="宋体"/>
          <w:color w:val="auto"/>
          <w:sz w:val="24"/>
          <w:szCs w:val="24"/>
          <w:highlight w:val="none"/>
        </w:rPr>
        <w:t>量，甲方不予确认。</w:t>
      </w:r>
    </w:p>
    <w:p w14:paraId="6009037F">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合同价款的调整：合同价款发生设计变更或洽商的情况时可以调整。合同价款的调整方式：合同中有类似变更清单项目的价格，参照类似价格确定变更价格；合同中无类似变更清单项目的价格，其相应综合单价由乙方根据本招标文件约定的计价程序和依据提出，经甲方确认后参照中标时的下浮率同比下浮后进行结算。由于设计变更等原因引起的工</w:t>
      </w:r>
      <w:r>
        <w:rPr>
          <w:rFonts w:hint="eastAsia" w:ascii="宋体" w:hAnsi="宋体" w:cs="宋体"/>
          <w:color w:val="auto"/>
          <w:sz w:val="24"/>
          <w:szCs w:val="24"/>
          <w:highlight w:val="none"/>
          <w:lang w:val="en-US" w:eastAsia="zh-CN"/>
        </w:rPr>
        <w:t>作</w:t>
      </w:r>
      <w:r>
        <w:rPr>
          <w:rFonts w:hint="eastAsia" w:ascii="宋体" w:hAnsi="宋体" w:eastAsia="宋体" w:cs="宋体"/>
          <w:color w:val="auto"/>
          <w:sz w:val="24"/>
          <w:szCs w:val="24"/>
          <w:highlight w:val="none"/>
        </w:rPr>
        <w:t>量增减或原清单中的工</w:t>
      </w:r>
      <w:r>
        <w:rPr>
          <w:rFonts w:hint="eastAsia" w:ascii="宋体" w:hAnsi="宋体" w:cs="宋体"/>
          <w:color w:val="auto"/>
          <w:sz w:val="24"/>
          <w:szCs w:val="24"/>
          <w:highlight w:val="none"/>
          <w:lang w:val="en-US" w:eastAsia="zh-CN"/>
        </w:rPr>
        <w:t>作</w:t>
      </w:r>
      <w:r>
        <w:rPr>
          <w:rFonts w:hint="eastAsia" w:ascii="宋体" w:hAnsi="宋体" w:eastAsia="宋体" w:cs="宋体"/>
          <w:color w:val="auto"/>
          <w:sz w:val="24"/>
          <w:szCs w:val="24"/>
          <w:highlight w:val="none"/>
        </w:rPr>
        <w:t>量误差,其综合单价执行投标时的综合单价。</w:t>
      </w:r>
    </w:p>
    <w:p w14:paraId="6C969168">
      <w:pPr>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rPr>
        <w:t>条 违约责任</w:t>
      </w:r>
    </w:p>
    <w:p w14:paraId="603AC225">
      <w:pPr>
        <w:pStyle w:val="23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甲方无正当理由</w:t>
      </w:r>
      <w:r>
        <w:rPr>
          <w:rFonts w:hint="eastAsia" w:hAnsi="宋体" w:cs="宋体"/>
          <w:color w:val="auto"/>
          <w:sz w:val="24"/>
          <w:szCs w:val="24"/>
          <w:highlight w:val="none"/>
          <w:lang w:val="en-US" w:eastAsia="zh-CN"/>
        </w:rPr>
        <w:t>拒绝验收</w:t>
      </w:r>
      <w:r>
        <w:rPr>
          <w:rFonts w:hint="eastAsia" w:ascii="宋体" w:hAnsi="宋体" w:eastAsia="宋体" w:cs="宋体"/>
          <w:color w:val="auto"/>
          <w:sz w:val="24"/>
          <w:szCs w:val="24"/>
          <w:highlight w:val="none"/>
        </w:rPr>
        <w:t>的，甲方向乙方偿付</w:t>
      </w:r>
      <w:r>
        <w:rPr>
          <w:rFonts w:hint="eastAsia" w:hAnsi="宋体" w:cs="宋体"/>
          <w:color w:val="auto"/>
          <w:sz w:val="24"/>
          <w:szCs w:val="24"/>
          <w:highlight w:val="none"/>
          <w:lang w:val="en-US" w:eastAsia="zh-CN"/>
        </w:rPr>
        <w:t>合同价</w:t>
      </w:r>
      <w:r>
        <w:rPr>
          <w:rFonts w:hint="eastAsia" w:ascii="宋体" w:hAnsi="宋体" w:eastAsia="宋体" w:cs="宋体"/>
          <w:color w:val="auto"/>
          <w:sz w:val="24"/>
          <w:szCs w:val="24"/>
          <w:highlight w:val="none"/>
        </w:rPr>
        <w:t>的百分之五违约金。</w:t>
      </w:r>
    </w:p>
    <w:p w14:paraId="41ED843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质量</w:t>
      </w:r>
      <w:r>
        <w:rPr>
          <w:rFonts w:hint="eastAsia" w:ascii="宋体" w:hAnsi="宋体" w:eastAsia="宋体" w:cs="宋体"/>
          <w:color w:val="auto"/>
          <w:sz w:val="24"/>
          <w:szCs w:val="24"/>
          <w:highlight w:val="none"/>
          <w:lang w:val="en-US" w:eastAsia="zh-CN"/>
        </w:rPr>
        <w:t>责任</w:t>
      </w:r>
    </w:p>
    <w:p w14:paraId="314196C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质量必须达到</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中标时承诺的质量标准。</w:t>
      </w:r>
    </w:p>
    <w:p w14:paraId="1166385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要求质量确保达到国家“合格”标准。若一次性验收不合格的，</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按承包范围内</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合同价的3%向</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支付违约金，直接从本</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的履约保证金或</w:t>
      </w:r>
      <w:r>
        <w:rPr>
          <w:rFonts w:hint="eastAsia" w:ascii="宋体" w:hAnsi="宋体" w:eastAsia="宋体" w:cs="宋体"/>
          <w:color w:val="auto"/>
          <w:sz w:val="24"/>
          <w:szCs w:val="24"/>
          <w:highlight w:val="none"/>
          <w:lang w:val="en-US" w:eastAsia="zh-CN"/>
        </w:rPr>
        <w:t>服务款项</w:t>
      </w:r>
      <w:r>
        <w:rPr>
          <w:rFonts w:hint="eastAsia" w:ascii="宋体" w:hAnsi="宋体" w:eastAsia="宋体" w:cs="宋体"/>
          <w:color w:val="auto"/>
          <w:sz w:val="24"/>
          <w:szCs w:val="24"/>
          <w:highlight w:val="none"/>
        </w:rPr>
        <w:t>款中扣除。由此造成的</w:t>
      </w:r>
      <w:r>
        <w:rPr>
          <w:rFonts w:hint="eastAsia" w:ascii="宋体" w:hAnsi="宋体" w:cs="宋体"/>
          <w:color w:val="auto"/>
          <w:sz w:val="24"/>
          <w:szCs w:val="24"/>
          <w:highlight w:val="none"/>
          <w:lang w:eastAsia="zh-CN"/>
        </w:rPr>
        <w:t>服务期限延误</w:t>
      </w:r>
      <w:r>
        <w:rPr>
          <w:rFonts w:hint="eastAsia" w:ascii="宋体" w:hAnsi="宋体" w:eastAsia="宋体" w:cs="宋体"/>
          <w:color w:val="auto"/>
          <w:sz w:val="24"/>
          <w:szCs w:val="24"/>
          <w:highlight w:val="none"/>
        </w:rPr>
        <w:t>将不予顺延，给</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造成实际损失的还将承担经济赔偿责任。同时，</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必须无偿整改达到承诺质量标准，保证</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按期交付使用。</w:t>
      </w:r>
    </w:p>
    <w:p w14:paraId="5F99F69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须严格按照质量标准、验收规范等组织</w:t>
      </w:r>
      <w:r>
        <w:rPr>
          <w:rFonts w:hint="eastAsia" w:ascii="宋体" w:hAnsi="宋体" w:cs="宋体"/>
          <w:color w:val="auto"/>
          <w:sz w:val="24"/>
          <w:szCs w:val="24"/>
          <w:highlight w:val="none"/>
          <w:lang w:val="en-US" w:eastAsia="zh-CN"/>
        </w:rPr>
        <w:t>实施</w:t>
      </w:r>
      <w:r>
        <w:rPr>
          <w:rFonts w:hint="eastAsia" w:ascii="宋体" w:hAnsi="宋体" w:eastAsia="宋体" w:cs="宋体"/>
          <w:color w:val="auto"/>
          <w:sz w:val="24"/>
          <w:szCs w:val="24"/>
          <w:highlight w:val="none"/>
        </w:rPr>
        <w:t>，接受</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、监理单位的检查。若发生</w:t>
      </w:r>
      <w:r>
        <w:rPr>
          <w:rFonts w:hint="eastAsia" w:ascii="宋体" w:hAnsi="宋体" w:eastAsia="宋体" w:cs="宋体"/>
          <w:color w:val="auto"/>
          <w:sz w:val="24"/>
          <w:szCs w:val="24"/>
          <w:highlight w:val="none"/>
          <w:lang w:val="en-US" w:eastAsia="zh-CN"/>
        </w:rPr>
        <w:t>时令花卉空秃死亡、杂草等</w:t>
      </w:r>
      <w:r>
        <w:rPr>
          <w:rFonts w:hint="eastAsia" w:ascii="宋体" w:hAnsi="宋体" w:eastAsia="宋体" w:cs="宋体"/>
          <w:color w:val="auto"/>
          <w:sz w:val="24"/>
          <w:szCs w:val="24"/>
          <w:highlight w:val="none"/>
        </w:rPr>
        <w:t>验收不符合质量目标要求的，</w:t>
      </w:r>
      <w:r>
        <w:rPr>
          <w:rFonts w:hint="eastAsia" w:ascii="宋体" w:hAnsi="宋体" w:eastAsia="宋体" w:cs="宋体"/>
          <w:color w:val="auto"/>
          <w:sz w:val="24"/>
          <w:szCs w:val="24"/>
          <w:highlight w:val="none"/>
          <w:lang w:val="en-US" w:eastAsia="zh-CN"/>
        </w:rPr>
        <w:t>应</w:t>
      </w:r>
      <w:r>
        <w:rPr>
          <w:rFonts w:hint="eastAsia" w:ascii="宋体" w:hAnsi="宋体" w:cs="宋体"/>
          <w:color w:val="auto"/>
          <w:sz w:val="24"/>
          <w:szCs w:val="24"/>
          <w:highlight w:val="none"/>
          <w:lang w:val="en-US" w:eastAsia="zh-CN"/>
        </w:rPr>
        <w:t>及时</w:t>
      </w:r>
      <w:r>
        <w:rPr>
          <w:rFonts w:hint="eastAsia" w:ascii="宋体" w:hAnsi="宋体" w:eastAsia="宋体" w:cs="宋体"/>
          <w:color w:val="auto"/>
          <w:sz w:val="24"/>
          <w:szCs w:val="24"/>
          <w:highlight w:val="none"/>
          <w:lang w:val="en-US" w:eastAsia="zh-CN"/>
        </w:rPr>
        <w:t>整改到位，若</w:t>
      </w:r>
      <w:r>
        <w:rPr>
          <w:rFonts w:hint="eastAsia" w:ascii="宋体" w:hAnsi="宋体" w:cs="宋体"/>
          <w:color w:val="auto"/>
          <w:sz w:val="24"/>
          <w:szCs w:val="24"/>
          <w:highlight w:val="none"/>
          <w:lang w:val="en-US" w:eastAsia="zh-CN"/>
        </w:rPr>
        <w:t>未能及时</w:t>
      </w:r>
      <w:r>
        <w:rPr>
          <w:rFonts w:hint="eastAsia" w:ascii="宋体" w:hAnsi="宋体" w:eastAsia="宋体" w:cs="宋体"/>
          <w:color w:val="auto"/>
          <w:sz w:val="24"/>
          <w:szCs w:val="24"/>
          <w:highlight w:val="none"/>
          <w:lang w:val="en-US" w:eastAsia="zh-CN"/>
        </w:rPr>
        <w:t>整改到位，则</w:t>
      </w:r>
      <w:r>
        <w:rPr>
          <w:rFonts w:hint="eastAsia" w:ascii="宋体" w:hAnsi="宋体" w:eastAsia="宋体" w:cs="宋体"/>
          <w:color w:val="auto"/>
          <w:sz w:val="24"/>
          <w:szCs w:val="24"/>
          <w:highlight w:val="none"/>
        </w:rPr>
        <w:t>每发生一次接受</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以每次</w:t>
      </w:r>
      <w:r>
        <w:rPr>
          <w:rFonts w:hint="eastAsia" w:ascii="宋体" w:hAnsi="宋体" w:cs="宋体"/>
          <w:color w:val="auto"/>
          <w:sz w:val="24"/>
          <w:szCs w:val="24"/>
          <w:highlight w:val="none"/>
          <w:lang w:val="en-US" w:eastAsia="zh-CN"/>
        </w:rPr>
        <w:t>2000</w:t>
      </w:r>
      <w:r>
        <w:rPr>
          <w:rFonts w:hint="eastAsia" w:ascii="宋体" w:hAnsi="宋体" w:eastAsia="宋体" w:cs="宋体"/>
          <w:color w:val="auto"/>
          <w:sz w:val="24"/>
          <w:szCs w:val="24"/>
          <w:highlight w:val="none"/>
        </w:rPr>
        <w:t>元的扣款，相关费用直接从应付款</w:t>
      </w:r>
      <w:r>
        <w:rPr>
          <w:rFonts w:hint="eastAsia" w:ascii="宋体" w:hAnsi="宋体" w:eastAsia="宋体" w:cs="宋体"/>
          <w:color w:val="auto"/>
          <w:sz w:val="24"/>
          <w:szCs w:val="24"/>
          <w:highlight w:val="none"/>
          <w:lang w:eastAsia="zh-CN"/>
        </w:rPr>
        <w:t>项</w:t>
      </w:r>
      <w:r>
        <w:rPr>
          <w:rFonts w:hint="eastAsia" w:ascii="宋体" w:hAnsi="宋体" w:eastAsia="宋体" w:cs="宋体"/>
          <w:color w:val="auto"/>
          <w:sz w:val="24"/>
          <w:szCs w:val="24"/>
          <w:highlight w:val="none"/>
        </w:rPr>
        <w:t>中扣除。另外</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在执行上述要求的同时，并不免除在限期内整改到位、继续履行其他合同条款的义务，由此发生的所有费用均由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承担，</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期、造价不给予补偿。若未按照</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要求及时整改到位的，</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有权委托第三方代为实施，费用</w:t>
      </w:r>
      <w:r>
        <w:rPr>
          <w:rFonts w:hint="eastAsia" w:ascii="宋体" w:hAnsi="宋体" w:cs="宋体"/>
          <w:color w:val="auto"/>
          <w:sz w:val="24"/>
          <w:szCs w:val="24"/>
          <w:highlight w:val="none"/>
          <w:lang w:val="en-US" w:eastAsia="zh-CN"/>
        </w:rPr>
        <w:t>按照本合同相关标准</w:t>
      </w:r>
      <w:r>
        <w:rPr>
          <w:rFonts w:hint="eastAsia" w:ascii="宋体" w:hAnsi="宋体" w:eastAsia="宋体" w:cs="宋体"/>
          <w:color w:val="auto"/>
          <w:sz w:val="24"/>
          <w:szCs w:val="24"/>
          <w:highlight w:val="none"/>
        </w:rPr>
        <w:t>报价，在</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结算总价中按2倍的价格扣减。拒不整改的，</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有权终止</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合同，已经完成的工作量按照</w:t>
      </w:r>
      <w:r>
        <w:rPr>
          <w:rFonts w:hint="eastAsia" w:ascii="宋体" w:hAnsi="宋体" w:eastAsia="宋体" w:cs="宋体"/>
          <w:color w:val="auto"/>
          <w:sz w:val="24"/>
          <w:szCs w:val="24"/>
          <w:highlight w:val="none"/>
          <w:u w:val="none"/>
        </w:rPr>
        <w:t>审定后合格工</w:t>
      </w:r>
      <w:r>
        <w:rPr>
          <w:rFonts w:hint="eastAsia" w:ascii="宋体" w:hAnsi="宋体" w:cs="宋体"/>
          <w:color w:val="auto"/>
          <w:sz w:val="24"/>
          <w:szCs w:val="24"/>
          <w:highlight w:val="none"/>
          <w:u w:val="none"/>
          <w:lang w:val="en-US" w:eastAsia="zh-CN"/>
        </w:rPr>
        <w:t>作</w:t>
      </w:r>
      <w:r>
        <w:rPr>
          <w:rFonts w:hint="eastAsia" w:ascii="宋体" w:hAnsi="宋体" w:eastAsia="宋体" w:cs="宋体"/>
          <w:color w:val="auto"/>
          <w:sz w:val="24"/>
          <w:szCs w:val="24"/>
          <w:highlight w:val="none"/>
          <w:u w:val="none"/>
        </w:rPr>
        <w:t>量</w:t>
      </w:r>
      <w:r>
        <w:rPr>
          <w:rFonts w:hint="eastAsia" w:ascii="宋体" w:hAnsi="宋体" w:cs="宋体"/>
          <w:color w:val="auto"/>
          <w:sz w:val="24"/>
          <w:szCs w:val="24"/>
          <w:highlight w:val="none"/>
          <w:u w:val="none"/>
          <w:lang w:val="en-US" w:eastAsia="zh-CN"/>
        </w:rPr>
        <w:t>的</w:t>
      </w:r>
      <w:r>
        <w:rPr>
          <w:rFonts w:hint="eastAsia" w:ascii="宋体" w:hAnsi="宋体" w:eastAsia="宋体" w:cs="宋体"/>
          <w:color w:val="auto"/>
          <w:sz w:val="24"/>
          <w:szCs w:val="24"/>
          <w:highlight w:val="none"/>
        </w:rPr>
        <w:t>70%结算。</w:t>
      </w:r>
    </w:p>
    <w:p w14:paraId="4658A08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（3）非</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原因，质量整改所发生的费用不予增加。</w:t>
      </w:r>
    </w:p>
    <w:p w14:paraId="19FA789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（4）检查验收不应影响正常</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。检查验收不合格时，影响正常</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的费用由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承担。</w:t>
      </w:r>
    </w:p>
    <w:p w14:paraId="5A915E5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（5）现场设立安全警示牌不少于2块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安全员做好交通疏导</w:t>
      </w:r>
      <w:r>
        <w:rPr>
          <w:rFonts w:hint="eastAsia" w:ascii="宋体" w:hAnsi="宋体" w:eastAsia="宋体" w:cs="宋体"/>
          <w:color w:val="auto"/>
          <w:sz w:val="24"/>
          <w:szCs w:val="24"/>
          <w:highlight w:val="none"/>
        </w:rPr>
        <w:t>（该费用由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自理）。</w:t>
      </w:r>
    </w:p>
    <w:p w14:paraId="17C3DD9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（6）保持现场整洁，材料堆放整齐，垃圾应随产随扫随清。现场不整洁，或材料堆放不整齐的，</w:t>
      </w:r>
      <w:r>
        <w:rPr>
          <w:rFonts w:hint="eastAsia" w:ascii="宋体" w:hAnsi="宋体" w:cs="宋体"/>
          <w:color w:val="auto"/>
          <w:sz w:val="24"/>
          <w:szCs w:val="24"/>
          <w:highlight w:val="none"/>
          <w:lang w:eastAsia="zh-CN"/>
        </w:rPr>
        <w:t>每次</w:t>
      </w:r>
      <w:r>
        <w:rPr>
          <w:rFonts w:hint="eastAsia" w:ascii="宋体" w:hAnsi="宋体" w:eastAsia="宋体" w:cs="宋体"/>
          <w:color w:val="auto"/>
          <w:sz w:val="24"/>
          <w:szCs w:val="24"/>
          <w:highlight w:val="none"/>
        </w:rPr>
        <w:t>可扣处违约金</w:t>
      </w:r>
      <w:r>
        <w:rPr>
          <w:rFonts w:hint="eastAsia" w:ascii="宋体" w:hAnsi="宋体" w:cs="宋体"/>
          <w:color w:val="auto"/>
          <w:sz w:val="24"/>
          <w:szCs w:val="24"/>
          <w:highlight w:val="none"/>
          <w:lang w:val="en-US" w:eastAsia="zh-CN"/>
        </w:rPr>
        <w:t>1000</w:t>
      </w:r>
      <w:r>
        <w:rPr>
          <w:rFonts w:hint="eastAsia" w:ascii="宋体" w:hAnsi="宋体" w:eastAsia="宋体" w:cs="宋体"/>
          <w:color w:val="auto"/>
          <w:sz w:val="24"/>
          <w:szCs w:val="24"/>
          <w:highlight w:val="none"/>
        </w:rPr>
        <w:t>元。垃圾不按要求清除的，</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可组织替代清除，清除费用按实际发生费用的2倍从</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应付款</w:t>
      </w:r>
      <w:r>
        <w:rPr>
          <w:rFonts w:hint="eastAsia" w:ascii="宋体" w:hAnsi="宋体" w:eastAsia="宋体" w:cs="宋体"/>
          <w:color w:val="auto"/>
          <w:sz w:val="24"/>
          <w:szCs w:val="24"/>
          <w:highlight w:val="none"/>
          <w:lang w:eastAsia="zh-CN"/>
        </w:rPr>
        <w:t>项</w:t>
      </w:r>
      <w:r>
        <w:rPr>
          <w:rFonts w:hint="eastAsia" w:ascii="宋体" w:hAnsi="宋体" w:eastAsia="宋体" w:cs="宋体"/>
          <w:color w:val="auto"/>
          <w:sz w:val="24"/>
          <w:szCs w:val="24"/>
          <w:highlight w:val="none"/>
        </w:rPr>
        <w:t>中</w:t>
      </w:r>
      <w:r>
        <w:rPr>
          <w:rFonts w:hint="eastAsia" w:ascii="宋体" w:hAnsi="宋体" w:cs="宋体"/>
          <w:color w:val="auto"/>
          <w:sz w:val="24"/>
          <w:szCs w:val="24"/>
          <w:highlight w:val="none"/>
          <w:lang w:val="en-US" w:eastAsia="zh-CN"/>
        </w:rPr>
        <w:t>扣除</w:t>
      </w:r>
      <w:r>
        <w:rPr>
          <w:rFonts w:hint="eastAsia" w:ascii="宋体" w:hAnsi="宋体" w:eastAsia="宋体" w:cs="宋体"/>
          <w:color w:val="auto"/>
          <w:sz w:val="24"/>
          <w:szCs w:val="24"/>
          <w:highlight w:val="none"/>
        </w:rPr>
        <w:t>，并可扣处违约金</w:t>
      </w:r>
      <w:r>
        <w:rPr>
          <w:rFonts w:hint="eastAsia" w:ascii="宋体" w:hAnsi="宋体" w:cs="宋体"/>
          <w:color w:val="auto"/>
          <w:sz w:val="24"/>
          <w:szCs w:val="24"/>
          <w:highlight w:val="none"/>
          <w:lang w:val="en-US" w:eastAsia="zh-CN"/>
        </w:rPr>
        <w:t>2000</w:t>
      </w:r>
      <w:r>
        <w:rPr>
          <w:rFonts w:hint="eastAsia" w:ascii="宋体" w:hAnsi="宋体" w:eastAsia="宋体" w:cs="宋体"/>
          <w:color w:val="auto"/>
          <w:sz w:val="24"/>
          <w:szCs w:val="24"/>
          <w:highlight w:val="none"/>
        </w:rPr>
        <w:t>元。</w:t>
      </w:r>
    </w:p>
    <w:p w14:paraId="352F76A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（7）养护期内，</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须按《城市园林绿化养护管理标准》（DB11/T213-2003)、《绿地养护等级标准》（苏建园［2002］178号）《江苏省城市园林绿化植物种植技术规定（试行）》《江苏省城市园林绿化植物养护技术规定（试行）》执行养护工作。养护期内经</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检查不符合上述文件内标准的，每发生一处接受</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1000-5000元的违约金扣款，相关费用直接从应付款</w:t>
      </w:r>
      <w:r>
        <w:rPr>
          <w:rFonts w:hint="eastAsia" w:ascii="宋体" w:hAnsi="宋体" w:eastAsia="宋体" w:cs="宋体"/>
          <w:color w:val="auto"/>
          <w:sz w:val="24"/>
          <w:szCs w:val="24"/>
          <w:highlight w:val="none"/>
          <w:lang w:eastAsia="zh-CN"/>
        </w:rPr>
        <w:t>项</w:t>
      </w:r>
      <w:r>
        <w:rPr>
          <w:rFonts w:hint="eastAsia" w:ascii="宋体" w:hAnsi="宋体" w:eastAsia="宋体" w:cs="宋体"/>
          <w:color w:val="auto"/>
          <w:sz w:val="24"/>
          <w:szCs w:val="24"/>
          <w:highlight w:val="none"/>
        </w:rPr>
        <w:t>中扣除。</w:t>
      </w:r>
    </w:p>
    <w:p w14:paraId="492E3D9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3、服务期限</w:t>
      </w:r>
      <w:r>
        <w:rPr>
          <w:rFonts w:hint="eastAsia" w:ascii="宋体" w:hAnsi="宋体" w:eastAsia="宋体" w:cs="宋体"/>
          <w:color w:val="auto"/>
          <w:sz w:val="24"/>
          <w:szCs w:val="24"/>
          <w:highlight w:val="none"/>
        </w:rPr>
        <w:t>延误</w:t>
      </w:r>
    </w:p>
    <w:p w14:paraId="0CEF95F9">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3.1、</w:t>
      </w:r>
      <w:r>
        <w:rPr>
          <w:rFonts w:hint="eastAsia" w:ascii="宋体" w:hAnsi="宋体" w:eastAsia="宋体" w:cs="宋体"/>
          <w:color w:val="auto"/>
          <w:sz w:val="24"/>
          <w:szCs w:val="24"/>
          <w:highlight w:val="none"/>
        </w:rPr>
        <w:t>因</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原因导致</w:t>
      </w:r>
      <w:r>
        <w:rPr>
          <w:rFonts w:hint="eastAsia" w:ascii="宋体" w:hAnsi="宋体" w:cs="宋体"/>
          <w:color w:val="auto"/>
          <w:sz w:val="24"/>
          <w:szCs w:val="24"/>
          <w:highlight w:val="none"/>
          <w:lang w:eastAsia="zh-CN"/>
        </w:rPr>
        <w:t>服务期限延误</w:t>
      </w:r>
    </w:p>
    <w:p w14:paraId="3F0DA571">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因</w:t>
      </w:r>
      <w:r>
        <w:rPr>
          <w:rFonts w:hint="eastAsia" w:ascii="宋体" w:hAnsi="宋体" w:eastAsia="宋体" w:cs="宋体"/>
          <w:color w:val="auto"/>
          <w:sz w:val="24"/>
          <w:szCs w:val="24"/>
          <w:highlight w:val="none"/>
          <w:u w:val="none"/>
          <w:lang w:eastAsia="zh-CN"/>
        </w:rPr>
        <w:t>甲方</w:t>
      </w:r>
      <w:r>
        <w:rPr>
          <w:rFonts w:hint="eastAsia" w:ascii="宋体" w:hAnsi="宋体" w:eastAsia="宋体" w:cs="宋体"/>
          <w:color w:val="auto"/>
          <w:sz w:val="24"/>
          <w:szCs w:val="24"/>
          <w:highlight w:val="none"/>
          <w:u w:val="none"/>
        </w:rPr>
        <w:t>原因导致</w:t>
      </w:r>
      <w:r>
        <w:rPr>
          <w:rFonts w:hint="eastAsia" w:ascii="宋体" w:hAnsi="宋体" w:cs="宋体"/>
          <w:color w:val="auto"/>
          <w:sz w:val="24"/>
          <w:szCs w:val="24"/>
          <w:highlight w:val="none"/>
          <w:u w:val="none"/>
          <w:lang w:eastAsia="zh-CN"/>
        </w:rPr>
        <w:t>服务期限延误</w:t>
      </w:r>
      <w:r>
        <w:rPr>
          <w:rFonts w:hint="eastAsia" w:ascii="宋体" w:hAnsi="宋体" w:eastAsia="宋体" w:cs="宋体"/>
          <w:color w:val="auto"/>
          <w:sz w:val="24"/>
          <w:szCs w:val="24"/>
          <w:highlight w:val="none"/>
          <w:u w:val="none"/>
        </w:rPr>
        <w:t>的其他情形：①经</w:t>
      </w:r>
      <w:r>
        <w:rPr>
          <w:rFonts w:hint="eastAsia" w:ascii="宋体" w:hAnsi="宋体" w:eastAsia="宋体" w:cs="宋体"/>
          <w:color w:val="auto"/>
          <w:sz w:val="24"/>
          <w:szCs w:val="24"/>
          <w:highlight w:val="none"/>
          <w:u w:val="none"/>
          <w:lang w:eastAsia="zh-CN"/>
        </w:rPr>
        <w:t>甲方</w:t>
      </w:r>
      <w:r>
        <w:rPr>
          <w:rFonts w:hint="eastAsia" w:ascii="宋体" w:hAnsi="宋体" w:eastAsia="宋体" w:cs="宋体"/>
          <w:color w:val="auto"/>
          <w:sz w:val="24"/>
          <w:szCs w:val="24"/>
          <w:highlight w:val="none"/>
          <w:u w:val="none"/>
        </w:rPr>
        <w:t>确认的不可抗力因素；</w:t>
      </w:r>
      <w:r>
        <w:rPr>
          <w:rFonts w:hint="eastAsia" w:ascii="宋体" w:hAnsi="宋体" w:eastAsia="宋体" w:cs="宋体"/>
          <w:color w:val="auto"/>
          <w:sz w:val="24"/>
          <w:szCs w:val="24"/>
          <w:highlight w:val="none"/>
          <w:u w:val="none"/>
          <w:lang w:val="en-US" w:eastAsia="zh-CN"/>
        </w:rPr>
        <w:t>②</w:t>
      </w:r>
      <w:r>
        <w:rPr>
          <w:rFonts w:hint="eastAsia" w:ascii="宋体" w:hAnsi="宋体" w:eastAsia="宋体" w:cs="宋体"/>
          <w:color w:val="auto"/>
          <w:sz w:val="24"/>
          <w:szCs w:val="24"/>
          <w:highlight w:val="none"/>
          <w:u w:val="none"/>
        </w:rPr>
        <w:t>合同中约定的或</w:t>
      </w:r>
      <w:r>
        <w:rPr>
          <w:rFonts w:hint="eastAsia" w:ascii="宋体" w:hAnsi="宋体" w:eastAsia="宋体" w:cs="宋体"/>
          <w:color w:val="auto"/>
          <w:sz w:val="24"/>
          <w:szCs w:val="24"/>
          <w:highlight w:val="none"/>
          <w:u w:val="none"/>
          <w:lang w:eastAsia="zh-CN"/>
        </w:rPr>
        <w:t>甲方</w:t>
      </w:r>
      <w:r>
        <w:rPr>
          <w:rFonts w:hint="eastAsia" w:ascii="宋体" w:hAnsi="宋体" w:eastAsia="宋体" w:cs="宋体"/>
          <w:color w:val="auto"/>
          <w:sz w:val="24"/>
          <w:szCs w:val="24"/>
          <w:highlight w:val="none"/>
          <w:u w:val="none"/>
        </w:rPr>
        <w:t>同意</w:t>
      </w:r>
      <w:r>
        <w:rPr>
          <w:rFonts w:hint="eastAsia" w:ascii="宋体" w:hAnsi="宋体" w:cs="宋体"/>
          <w:color w:val="auto"/>
          <w:sz w:val="24"/>
          <w:szCs w:val="24"/>
          <w:highlight w:val="none"/>
          <w:u w:val="none"/>
          <w:lang w:val="en-US" w:eastAsia="zh-CN"/>
        </w:rPr>
        <w:t>服务</w:t>
      </w:r>
      <w:r>
        <w:rPr>
          <w:rFonts w:hint="eastAsia" w:ascii="宋体" w:hAnsi="宋体" w:eastAsia="宋体" w:cs="宋体"/>
          <w:color w:val="auto"/>
          <w:sz w:val="24"/>
          <w:szCs w:val="24"/>
          <w:highlight w:val="none"/>
          <w:u w:val="none"/>
        </w:rPr>
        <w:t>期顺延的其他情况。上述情况必须经</w:t>
      </w:r>
      <w:r>
        <w:rPr>
          <w:rFonts w:hint="eastAsia" w:ascii="宋体" w:hAnsi="宋体" w:eastAsia="宋体" w:cs="宋体"/>
          <w:color w:val="auto"/>
          <w:sz w:val="24"/>
          <w:szCs w:val="24"/>
          <w:highlight w:val="none"/>
          <w:u w:val="none"/>
          <w:lang w:eastAsia="zh-CN"/>
        </w:rPr>
        <w:t>甲方</w:t>
      </w:r>
      <w:r>
        <w:rPr>
          <w:rFonts w:hint="eastAsia" w:ascii="宋体" w:hAnsi="宋体" w:eastAsia="宋体" w:cs="宋体"/>
          <w:color w:val="auto"/>
          <w:sz w:val="24"/>
          <w:szCs w:val="24"/>
          <w:highlight w:val="none"/>
          <w:u w:val="none"/>
        </w:rPr>
        <w:t>、监理单位书面确认。</w:t>
      </w:r>
    </w:p>
    <w:p w14:paraId="5E55A475">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szCs w:val="24"/>
          <w:highlight w:val="none"/>
          <w:u w:val="none"/>
          <w:lang w:eastAsia="zh-CN"/>
        </w:rPr>
      </w:pPr>
      <w:r>
        <w:rPr>
          <w:rFonts w:hint="eastAsia" w:ascii="宋体" w:hAnsi="宋体" w:cs="宋体"/>
          <w:color w:val="auto"/>
          <w:sz w:val="24"/>
          <w:szCs w:val="24"/>
          <w:highlight w:val="none"/>
          <w:lang w:val="en-US" w:eastAsia="zh-CN"/>
        </w:rPr>
        <w:t>3.2、</w:t>
      </w:r>
      <w:r>
        <w:rPr>
          <w:rFonts w:hint="eastAsia" w:ascii="宋体" w:hAnsi="宋体" w:eastAsia="宋体" w:cs="宋体"/>
          <w:color w:val="auto"/>
          <w:sz w:val="24"/>
          <w:szCs w:val="24"/>
          <w:highlight w:val="none"/>
          <w:u w:val="none"/>
        </w:rPr>
        <w:t>因</w:t>
      </w:r>
      <w:r>
        <w:rPr>
          <w:rFonts w:hint="eastAsia" w:ascii="宋体" w:hAnsi="宋体" w:eastAsia="宋体" w:cs="宋体"/>
          <w:color w:val="auto"/>
          <w:sz w:val="24"/>
          <w:szCs w:val="24"/>
          <w:highlight w:val="none"/>
          <w:u w:val="none"/>
          <w:lang w:eastAsia="zh-CN"/>
        </w:rPr>
        <w:t>乙方</w:t>
      </w:r>
      <w:r>
        <w:rPr>
          <w:rFonts w:hint="eastAsia" w:ascii="宋体" w:hAnsi="宋体" w:eastAsia="宋体" w:cs="宋体"/>
          <w:color w:val="auto"/>
          <w:sz w:val="24"/>
          <w:szCs w:val="24"/>
          <w:highlight w:val="none"/>
          <w:u w:val="none"/>
        </w:rPr>
        <w:t>原因导致</w:t>
      </w:r>
      <w:r>
        <w:rPr>
          <w:rFonts w:hint="eastAsia" w:ascii="宋体" w:hAnsi="宋体" w:cs="宋体"/>
          <w:color w:val="auto"/>
          <w:sz w:val="24"/>
          <w:szCs w:val="24"/>
          <w:highlight w:val="none"/>
          <w:u w:val="none"/>
          <w:lang w:eastAsia="zh-CN"/>
        </w:rPr>
        <w:t>服务期限延误</w:t>
      </w:r>
    </w:p>
    <w:p w14:paraId="63C9E21D">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因</w:t>
      </w:r>
      <w:r>
        <w:rPr>
          <w:rFonts w:hint="eastAsia" w:ascii="宋体" w:hAnsi="宋体" w:eastAsia="宋体" w:cs="宋体"/>
          <w:color w:val="auto"/>
          <w:sz w:val="24"/>
          <w:szCs w:val="24"/>
          <w:highlight w:val="none"/>
          <w:u w:val="none"/>
          <w:lang w:eastAsia="zh-CN"/>
        </w:rPr>
        <w:t>乙方</w:t>
      </w:r>
      <w:r>
        <w:rPr>
          <w:rFonts w:hint="eastAsia" w:ascii="宋体" w:hAnsi="宋体" w:eastAsia="宋体" w:cs="宋体"/>
          <w:color w:val="auto"/>
          <w:sz w:val="24"/>
          <w:szCs w:val="24"/>
          <w:highlight w:val="none"/>
          <w:u w:val="none"/>
        </w:rPr>
        <w:t>原因造成</w:t>
      </w:r>
      <w:r>
        <w:rPr>
          <w:rFonts w:hint="eastAsia" w:ascii="宋体" w:hAnsi="宋体" w:cs="宋体"/>
          <w:color w:val="auto"/>
          <w:sz w:val="24"/>
          <w:szCs w:val="24"/>
          <w:highlight w:val="none"/>
          <w:u w:val="none"/>
          <w:lang w:eastAsia="zh-CN"/>
        </w:rPr>
        <w:t>服务期限延误</w:t>
      </w:r>
      <w:r>
        <w:rPr>
          <w:rFonts w:hint="eastAsia" w:ascii="宋体" w:hAnsi="宋体" w:eastAsia="宋体" w:cs="宋体"/>
          <w:color w:val="auto"/>
          <w:sz w:val="24"/>
          <w:szCs w:val="24"/>
          <w:highlight w:val="none"/>
          <w:u w:val="none"/>
        </w:rPr>
        <w:t>，逾期</w:t>
      </w:r>
      <w:r>
        <w:rPr>
          <w:rFonts w:hint="eastAsia" w:ascii="宋体" w:hAnsi="宋体" w:cs="宋体"/>
          <w:color w:val="auto"/>
          <w:sz w:val="24"/>
          <w:szCs w:val="24"/>
          <w:highlight w:val="none"/>
          <w:u w:val="none"/>
          <w:lang w:val="en-US" w:eastAsia="zh-CN"/>
        </w:rPr>
        <w:t>交付</w:t>
      </w:r>
      <w:r>
        <w:rPr>
          <w:rFonts w:hint="eastAsia" w:ascii="宋体" w:hAnsi="宋体" w:eastAsia="宋体" w:cs="宋体"/>
          <w:color w:val="auto"/>
          <w:sz w:val="24"/>
          <w:szCs w:val="24"/>
          <w:highlight w:val="none"/>
          <w:u w:val="none"/>
        </w:rPr>
        <w:t>违约金的计算方法为：</w:t>
      </w:r>
      <w:r>
        <w:rPr>
          <w:rFonts w:hint="eastAsia" w:ascii="宋体" w:hAnsi="宋体" w:eastAsia="宋体" w:cs="宋体"/>
          <w:color w:val="auto"/>
          <w:sz w:val="24"/>
          <w:szCs w:val="24"/>
          <w:highlight w:val="none"/>
          <w:u w:val="none"/>
          <w:lang w:val="en-US" w:eastAsia="zh-CN"/>
        </w:rPr>
        <w:t>每次更换花卉节点</w:t>
      </w:r>
      <w:r>
        <w:rPr>
          <w:rFonts w:hint="eastAsia" w:ascii="宋体" w:hAnsi="宋体" w:cs="宋体"/>
          <w:color w:val="auto"/>
          <w:sz w:val="24"/>
          <w:szCs w:val="24"/>
          <w:highlight w:val="none"/>
          <w:u w:val="none"/>
          <w:lang w:val="en-US" w:eastAsia="zh-CN"/>
        </w:rPr>
        <w:t>更换</w:t>
      </w:r>
      <w:r>
        <w:rPr>
          <w:rFonts w:hint="eastAsia" w:ascii="宋体" w:hAnsi="宋体" w:eastAsia="宋体" w:cs="宋体"/>
          <w:color w:val="auto"/>
          <w:sz w:val="24"/>
          <w:szCs w:val="24"/>
          <w:highlight w:val="none"/>
          <w:u w:val="none"/>
        </w:rPr>
        <w:t>时间以</w:t>
      </w:r>
      <w:r>
        <w:rPr>
          <w:rFonts w:hint="eastAsia" w:ascii="宋体" w:hAnsi="宋体" w:eastAsia="宋体" w:cs="宋体"/>
          <w:color w:val="auto"/>
          <w:sz w:val="24"/>
          <w:szCs w:val="24"/>
          <w:highlight w:val="none"/>
          <w:u w:val="none"/>
          <w:lang w:eastAsia="zh-CN"/>
        </w:rPr>
        <w:t>甲方</w:t>
      </w:r>
      <w:r>
        <w:rPr>
          <w:rFonts w:hint="eastAsia" w:ascii="宋体" w:hAnsi="宋体" w:eastAsia="宋体" w:cs="宋体"/>
          <w:color w:val="auto"/>
          <w:sz w:val="24"/>
          <w:szCs w:val="24"/>
          <w:highlight w:val="none"/>
          <w:u w:val="none"/>
        </w:rPr>
        <w:t>批准的通知日期为准。如因不可抗力或</w:t>
      </w:r>
      <w:r>
        <w:rPr>
          <w:rFonts w:hint="eastAsia" w:ascii="宋体" w:hAnsi="宋体" w:eastAsia="宋体" w:cs="宋体"/>
          <w:color w:val="auto"/>
          <w:sz w:val="24"/>
          <w:szCs w:val="24"/>
          <w:highlight w:val="none"/>
          <w:u w:val="none"/>
          <w:lang w:eastAsia="zh-CN"/>
        </w:rPr>
        <w:t>甲方</w:t>
      </w:r>
      <w:r>
        <w:rPr>
          <w:rFonts w:hint="eastAsia" w:ascii="宋体" w:hAnsi="宋体" w:eastAsia="宋体" w:cs="宋体"/>
          <w:color w:val="auto"/>
          <w:sz w:val="24"/>
          <w:szCs w:val="24"/>
          <w:highlight w:val="none"/>
          <w:u w:val="none"/>
        </w:rPr>
        <w:t>原因造成</w:t>
      </w:r>
      <w:r>
        <w:rPr>
          <w:rFonts w:hint="eastAsia" w:ascii="宋体" w:hAnsi="宋体" w:cs="宋体"/>
          <w:color w:val="auto"/>
          <w:sz w:val="24"/>
          <w:szCs w:val="24"/>
          <w:highlight w:val="none"/>
          <w:u w:val="none"/>
          <w:lang w:eastAsia="zh-CN"/>
        </w:rPr>
        <w:t>服务期限延误</w:t>
      </w:r>
      <w:r>
        <w:rPr>
          <w:rFonts w:hint="eastAsia" w:ascii="宋体" w:hAnsi="宋体" w:eastAsia="宋体" w:cs="宋体"/>
          <w:color w:val="auto"/>
          <w:sz w:val="24"/>
          <w:szCs w:val="24"/>
          <w:highlight w:val="none"/>
          <w:u w:val="none"/>
        </w:rPr>
        <w:t>的，经监理和</w:t>
      </w:r>
      <w:r>
        <w:rPr>
          <w:rFonts w:hint="eastAsia" w:ascii="宋体" w:hAnsi="宋体" w:eastAsia="宋体" w:cs="宋体"/>
          <w:color w:val="auto"/>
          <w:sz w:val="24"/>
          <w:szCs w:val="24"/>
          <w:highlight w:val="none"/>
          <w:u w:val="none"/>
          <w:lang w:eastAsia="zh-CN"/>
        </w:rPr>
        <w:t>甲方</w:t>
      </w:r>
      <w:r>
        <w:rPr>
          <w:rFonts w:hint="eastAsia" w:ascii="宋体" w:hAnsi="宋体" w:eastAsia="宋体" w:cs="宋体"/>
          <w:color w:val="auto"/>
          <w:sz w:val="24"/>
          <w:szCs w:val="24"/>
          <w:highlight w:val="none"/>
          <w:u w:val="none"/>
        </w:rPr>
        <w:t>书面签证确认后</w:t>
      </w:r>
      <w:r>
        <w:rPr>
          <w:rFonts w:hint="eastAsia" w:ascii="宋体" w:hAnsi="宋体" w:cs="宋体"/>
          <w:color w:val="auto"/>
          <w:sz w:val="24"/>
          <w:szCs w:val="24"/>
          <w:highlight w:val="none"/>
          <w:u w:val="none"/>
          <w:lang w:val="en-US" w:eastAsia="zh-CN"/>
        </w:rPr>
        <w:t>服务</w:t>
      </w:r>
      <w:r>
        <w:rPr>
          <w:rFonts w:hint="eastAsia" w:ascii="宋体" w:hAnsi="宋体" w:eastAsia="宋体" w:cs="宋体"/>
          <w:color w:val="auto"/>
          <w:sz w:val="24"/>
          <w:szCs w:val="24"/>
          <w:highlight w:val="none"/>
          <w:u w:val="none"/>
        </w:rPr>
        <w:t>期顺延，</w:t>
      </w:r>
      <w:r>
        <w:rPr>
          <w:rFonts w:hint="eastAsia" w:ascii="宋体" w:hAnsi="宋体" w:eastAsia="宋体" w:cs="宋体"/>
          <w:color w:val="auto"/>
          <w:sz w:val="24"/>
          <w:szCs w:val="24"/>
          <w:highlight w:val="none"/>
          <w:u w:val="none"/>
          <w:lang w:eastAsia="zh-CN"/>
        </w:rPr>
        <w:t>乙方</w:t>
      </w:r>
      <w:r>
        <w:rPr>
          <w:rFonts w:hint="eastAsia" w:ascii="宋体" w:hAnsi="宋体" w:eastAsia="宋体" w:cs="宋体"/>
          <w:color w:val="auto"/>
          <w:sz w:val="24"/>
          <w:szCs w:val="24"/>
          <w:highlight w:val="none"/>
          <w:u w:val="none"/>
        </w:rPr>
        <w:t>不得以任何借口停</w:t>
      </w:r>
      <w:r>
        <w:rPr>
          <w:rFonts w:hint="eastAsia" w:ascii="宋体" w:hAnsi="宋体" w:cs="宋体"/>
          <w:color w:val="auto"/>
          <w:sz w:val="24"/>
          <w:szCs w:val="24"/>
          <w:highlight w:val="none"/>
          <w:u w:val="none"/>
          <w:lang w:val="en-US" w:eastAsia="zh-CN"/>
        </w:rPr>
        <w:t>止服务</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none"/>
          <w:lang w:eastAsia="zh-CN"/>
        </w:rPr>
        <w:t>甲方</w:t>
      </w:r>
      <w:r>
        <w:rPr>
          <w:rFonts w:hint="eastAsia" w:ascii="宋体" w:hAnsi="宋体" w:eastAsia="宋体" w:cs="宋体"/>
          <w:color w:val="auto"/>
          <w:sz w:val="24"/>
          <w:szCs w:val="24"/>
          <w:highlight w:val="none"/>
          <w:u w:val="none"/>
        </w:rPr>
        <w:t>将按</w:t>
      </w:r>
      <w:r>
        <w:rPr>
          <w:rFonts w:hint="eastAsia" w:ascii="宋体" w:hAnsi="宋体" w:eastAsia="宋体" w:cs="宋体"/>
          <w:color w:val="auto"/>
          <w:sz w:val="24"/>
          <w:szCs w:val="24"/>
          <w:highlight w:val="none"/>
          <w:u w:val="none"/>
          <w:lang w:eastAsia="zh-CN"/>
        </w:rPr>
        <w:t>乙方</w:t>
      </w:r>
      <w:r>
        <w:rPr>
          <w:rFonts w:hint="eastAsia" w:ascii="宋体" w:hAnsi="宋体" w:eastAsia="宋体" w:cs="宋体"/>
          <w:color w:val="auto"/>
          <w:sz w:val="24"/>
          <w:szCs w:val="24"/>
          <w:highlight w:val="none"/>
          <w:u w:val="none"/>
        </w:rPr>
        <w:t>的进度计划表对进度进行考核：①</w:t>
      </w:r>
      <w:r>
        <w:rPr>
          <w:rFonts w:hint="eastAsia" w:ascii="宋体" w:hAnsi="宋体" w:eastAsia="宋体" w:cs="宋体"/>
          <w:color w:val="auto"/>
          <w:sz w:val="24"/>
          <w:szCs w:val="24"/>
          <w:highlight w:val="none"/>
          <w:u w:val="none"/>
          <w:lang w:eastAsia="zh-CN"/>
        </w:rPr>
        <w:t>乙方</w:t>
      </w:r>
      <w:r>
        <w:rPr>
          <w:rFonts w:hint="eastAsia" w:ascii="宋体" w:hAnsi="宋体" w:eastAsia="宋体" w:cs="宋体"/>
          <w:color w:val="auto"/>
          <w:sz w:val="24"/>
          <w:szCs w:val="24"/>
          <w:highlight w:val="none"/>
          <w:u w:val="none"/>
        </w:rPr>
        <w:t>若发生未能按照进度计划表约定的节点</w:t>
      </w:r>
      <w:r>
        <w:rPr>
          <w:rFonts w:hint="eastAsia" w:ascii="宋体" w:hAnsi="宋体" w:cs="宋体"/>
          <w:color w:val="auto"/>
          <w:sz w:val="24"/>
          <w:szCs w:val="24"/>
          <w:highlight w:val="none"/>
          <w:u w:val="none"/>
          <w:lang w:val="en-US" w:eastAsia="zh-CN"/>
        </w:rPr>
        <w:t>服务</w:t>
      </w:r>
      <w:r>
        <w:rPr>
          <w:rFonts w:hint="eastAsia" w:ascii="宋体" w:hAnsi="宋体" w:eastAsia="宋体" w:cs="宋体"/>
          <w:color w:val="auto"/>
          <w:sz w:val="24"/>
          <w:szCs w:val="24"/>
          <w:highlight w:val="none"/>
          <w:u w:val="none"/>
        </w:rPr>
        <w:t>期建设，须在限期内整改，</w:t>
      </w:r>
      <w:r>
        <w:rPr>
          <w:rFonts w:hint="eastAsia" w:ascii="宋体" w:hAnsi="宋体" w:cs="宋体"/>
          <w:color w:val="auto"/>
          <w:sz w:val="24"/>
          <w:szCs w:val="24"/>
          <w:highlight w:val="none"/>
          <w:u w:val="none"/>
          <w:lang w:eastAsia="zh-CN"/>
        </w:rPr>
        <w:t>服务</w:t>
      </w:r>
      <w:r>
        <w:rPr>
          <w:rFonts w:hint="eastAsia" w:ascii="宋体" w:hAnsi="宋体" w:eastAsia="宋体" w:cs="宋体"/>
          <w:color w:val="auto"/>
          <w:sz w:val="24"/>
          <w:szCs w:val="24"/>
          <w:highlight w:val="none"/>
          <w:u w:val="none"/>
        </w:rPr>
        <w:t>到位，同时接受</w:t>
      </w:r>
      <w:r>
        <w:rPr>
          <w:rFonts w:hint="eastAsia" w:ascii="宋体" w:hAnsi="宋体" w:eastAsia="宋体" w:cs="宋体"/>
          <w:color w:val="auto"/>
          <w:sz w:val="24"/>
          <w:szCs w:val="24"/>
          <w:highlight w:val="none"/>
          <w:u w:val="none"/>
          <w:lang w:eastAsia="zh-CN"/>
        </w:rPr>
        <w:t>甲方</w:t>
      </w:r>
      <w:r>
        <w:rPr>
          <w:rFonts w:hint="eastAsia" w:ascii="宋体" w:hAnsi="宋体" w:eastAsia="宋体" w:cs="宋体"/>
          <w:color w:val="auto"/>
          <w:sz w:val="24"/>
          <w:szCs w:val="24"/>
          <w:highlight w:val="none"/>
          <w:u w:val="none"/>
        </w:rPr>
        <w:t>以每次</w:t>
      </w:r>
      <w:r>
        <w:rPr>
          <w:rFonts w:hint="eastAsia" w:ascii="宋体" w:hAnsi="宋体" w:cs="宋体"/>
          <w:color w:val="auto"/>
          <w:sz w:val="24"/>
          <w:szCs w:val="24"/>
          <w:highlight w:val="none"/>
          <w:u w:val="none"/>
          <w:lang w:val="en-US" w:eastAsia="zh-CN"/>
        </w:rPr>
        <w:t>5000</w:t>
      </w:r>
      <w:r>
        <w:rPr>
          <w:rFonts w:hint="eastAsia" w:ascii="宋体" w:hAnsi="宋体" w:eastAsia="宋体" w:cs="宋体"/>
          <w:color w:val="auto"/>
          <w:sz w:val="24"/>
          <w:szCs w:val="24"/>
          <w:highlight w:val="none"/>
          <w:u w:val="none"/>
        </w:rPr>
        <w:t>元的违约金，相关费用直接从</w:t>
      </w:r>
      <w:r>
        <w:rPr>
          <w:rFonts w:hint="eastAsia" w:ascii="宋体" w:hAnsi="宋体" w:cs="宋体"/>
          <w:color w:val="auto"/>
          <w:sz w:val="24"/>
          <w:szCs w:val="24"/>
          <w:highlight w:val="none"/>
          <w:u w:val="none"/>
          <w:lang w:val="en-US" w:eastAsia="zh-CN"/>
        </w:rPr>
        <w:t>相应合同</w:t>
      </w:r>
      <w:r>
        <w:rPr>
          <w:rFonts w:hint="eastAsia" w:ascii="宋体" w:hAnsi="宋体" w:eastAsia="宋体" w:cs="宋体"/>
          <w:color w:val="auto"/>
          <w:sz w:val="24"/>
          <w:szCs w:val="24"/>
          <w:highlight w:val="none"/>
          <w:u w:val="none"/>
        </w:rPr>
        <w:t>款项中扣除。②在限期内未完成的，</w:t>
      </w:r>
      <w:r>
        <w:rPr>
          <w:rFonts w:hint="eastAsia" w:ascii="宋体" w:hAnsi="宋体" w:eastAsia="宋体" w:cs="宋体"/>
          <w:color w:val="auto"/>
          <w:sz w:val="24"/>
          <w:szCs w:val="24"/>
          <w:highlight w:val="none"/>
          <w:u w:val="none"/>
          <w:lang w:eastAsia="zh-CN"/>
        </w:rPr>
        <w:t>甲方</w:t>
      </w:r>
      <w:r>
        <w:rPr>
          <w:rFonts w:hint="eastAsia" w:ascii="宋体" w:hAnsi="宋体" w:eastAsia="宋体" w:cs="宋体"/>
          <w:color w:val="auto"/>
          <w:sz w:val="24"/>
          <w:szCs w:val="24"/>
          <w:highlight w:val="none"/>
          <w:u w:val="none"/>
        </w:rPr>
        <w:t>将直接委托第三方代为</w:t>
      </w:r>
      <w:r>
        <w:rPr>
          <w:rFonts w:hint="eastAsia" w:ascii="宋体" w:hAnsi="宋体" w:cs="宋体"/>
          <w:color w:val="auto"/>
          <w:sz w:val="24"/>
          <w:szCs w:val="24"/>
          <w:highlight w:val="none"/>
          <w:u w:val="none"/>
          <w:lang w:val="en-US" w:eastAsia="zh-CN"/>
        </w:rPr>
        <w:t>服务</w:t>
      </w:r>
      <w:r>
        <w:rPr>
          <w:rFonts w:hint="eastAsia" w:ascii="宋体" w:hAnsi="宋体" w:eastAsia="宋体" w:cs="宋体"/>
          <w:color w:val="auto"/>
          <w:sz w:val="24"/>
          <w:szCs w:val="24"/>
          <w:highlight w:val="none"/>
          <w:u w:val="none"/>
        </w:rPr>
        <w:t>，同时</w:t>
      </w:r>
      <w:r>
        <w:rPr>
          <w:rFonts w:hint="eastAsia" w:ascii="宋体" w:hAnsi="宋体" w:cs="宋体"/>
          <w:color w:val="auto"/>
          <w:sz w:val="24"/>
          <w:szCs w:val="24"/>
          <w:highlight w:val="none"/>
          <w:u w:val="none"/>
          <w:lang w:val="en-US" w:eastAsia="zh-CN"/>
        </w:rPr>
        <w:t>乙方</w:t>
      </w:r>
      <w:r>
        <w:rPr>
          <w:rFonts w:hint="eastAsia" w:ascii="宋体" w:hAnsi="宋体" w:eastAsia="宋体" w:cs="宋体"/>
          <w:color w:val="auto"/>
          <w:sz w:val="24"/>
          <w:szCs w:val="24"/>
          <w:highlight w:val="none"/>
          <w:u w:val="none"/>
        </w:rPr>
        <w:t>接受</w:t>
      </w:r>
      <w:r>
        <w:rPr>
          <w:rFonts w:hint="eastAsia" w:ascii="宋体" w:hAnsi="宋体" w:eastAsia="宋体" w:cs="宋体"/>
          <w:color w:val="auto"/>
          <w:sz w:val="24"/>
          <w:szCs w:val="24"/>
          <w:highlight w:val="none"/>
          <w:u w:val="none"/>
          <w:lang w:eastAsia="zh-CN"/>
        </w:rPr>
        <w:t>甲方</w:t>
      </w:r>
      <w:r>
        <w:rPr>
          <w:rFonts w:hint="eastAsia" w:ascii="宋体" w:hAnsi="宋体" w:eastAsia="宋体" w:cs="宋体"/>
          <w:color w:val="auto"/>
          <w:sz w:val="24"/>
          <w:szCs w:val="24"/>
          <w:highlight w:val="none"/>
          <w:u w:val="none"/>
        </w:rPr>
        <w:t>以每次实际发生费用的双倍费用直接从</w:t>
      </w:r>
      <w:r>
        <w:rPr>
          <w:rFonts w:hint="eastAsia" w:ascii="宋体" w:hAnsi="宋体" w:cs="宋体"/>
          <w:color w:val="auto"/>
          <w:sz w:val="24"/>
          <w:szCs w:val="24"/>
          <w:highlight w:val="none"/>
          <w:u w:val="none"/>
          <w:lang w:val="en-US" w:eastAsia="zh-CN"/>
        </w:rPr>
        <w:t>合同</w:t>
      </w:r>
      <w:r>
        <w:rPr>
          <w:rFonts w:hint="eastAsia" w:ascii="宋体" w:hAnsi="宋体" w:eastAsia="宋体" w:cs="宋体"/>
          <w:color w:val="auto"/>
          <w:sz w:val="24"/>
          <w:szCs w:val="24"/>
          <w:highlight w:val="none"/>
          <w:u w:val="none"/>
        </w:rPr>
        <w:t>款项中扣除。③拒绝执行上述条款的，</w:t>
      </w:r>
      <w:r>
        <w:rPr>
          <w:rFonts w:hint="eastAsia" w:ascii="宋体" w:hAnsi="宋体" w:eastAsia="宋体" w:cs="宋体"/>
          <w:color w:val="auto"/>
          <w:sz w:val="24"/>
          <w:szCs w:val="24"/>
          <w:highlight w:val="none"/>
          <w:u w:val="none"/>
          <w:lang w:eastAsia="zh-CN"/>
        </w:rPr>
        <w:t>甲方</w:t>
      </w:r>
      <w:r>
        <w:rPr>
          <w:rFonts w:hint="eastAsia" w:ascii="宋体" w:hAnsi="宋体" w:eastAsia="宋体" w:cs="宋体"/>
          <w:color w:val="auto"/>
          <w:sz w:val="24"/>
          <w:szCs w:val="24"/>
          <w:highlight w:val="none"/>
          <w:u w:val="none"/>
        </w:rPr>
        <w:t>有权清退</w:t>
      </w:r>
      <w:r>
        <w:rPr>
          <w:rFonts w:hint="eastAsia" w:ascii="宋体" w:hAnsi="宋体" w:eastAsia="宋体" w:cs="宋体"/>
          <w:color w:val="auto"/>
          <w:sz w:val="24"/>
          <w:szCs w:val="24"/>
          <w:highlight w:val="none"/>
          <w:u w:val="none"/>
          <w:lang w:eastAsia="zh-CN"/>
        </w:rPr>
        <w:t>乙方</w:t>
      </w:r>
      <w:r>
        <w:rPr>
          <w:rFonts w:hint="eastAsia" w:ascii="宋体" w:hAnsi="宋体" w:eastAsia="宋体" w:cs="宋体"/>
          <w:color w:val="auto"/>
          <w:sz w:val="24"/>
          <w:szCs w:val="24"/>
          <w:highlight w:val="none"/>
          <w:u w:val="none"/>
        </w:rPr>
        <w:t>，已经发生的工作量按照审定后合格工</w:t>
      </w:r>
      <w:r>
        <w:rPr>
          <w:rFonts w:hint="eastAsia" w:ascii="宋体" w:hAnsi="宋体" w:cs="宋体"/>
          <w:color w:val="auto"/>
          <w:sz w:val="24"/>
          <w:szCs w:val="24"/>
          <w:highlight w:val="none"/>
          <w:u w:val="none"/>
          <w:lang w:val="en-US" w:eastAsia="zh-CN"/>
        </w:rPr>
        <w:t>作</w:t>
      </w:r>
      <w:r>
        <w:rPr>
          <w:rFonts w:hint="eastAsia" w:ascii="宋体" w:hAnsi="宋体" w:eastAsia="宋体" w:cs="宋体"/>
          <w:color w:val="auto"/>
          <w:sz w:val="24"/>
          <w:szCs w:val="24"/>
          <w:highlight w:val="none"/>
          <w:u w:val="none"/>
        </w:rPr>
        <w:t>量的70%结算，同时由此造成的损失均由</w:t>
      </w:r>
      <w:r>
        <w:rPr>
          <w:rFonts w:hint="eastAsia" w:ascii="宋体" w:hAnsi="宋体" w:eastAsia="宋体" w:cs="宋体"/>
          <w:color w:val="auto"/>
          <w:sz w:val="24"/>
          <w:szCs w:val="24"/>
          <w:highlight w:val="none"/>
          <w:u w:val="none"/>
          <w:lang w:eastAsia="zh-CN"/>
        </w:rPr>
        <w:t>乙方</w:t>
      </w:r>
      <w:r>
        <w:rPr>
          <w:rFonts w:hint="eastAsia" w:ascii="宋体" w:hAnsi="宋体" w:eastAsia="宋体" w:cs="宋体"/>
          <w:color w:val="auto"/>
          <w:sz w:val="24"/>
          <w:szCs w:val="24"/>
          <w:highlight w:val="none"/>
          <w:u w:val="none"/>
        </w:rPr>
        <w:t>承担。</w:t>
      </w:r>
      <w:r>
        <w:rPr>
          <w:rFonts w:hint="eastAsia" w:ascii="宋体" w:hAnsi="宋体" w:eastAsia="宋体" w:cs="宋体"/>
          <w:color w:val="auto"/>
          <w:sz w:val="24"/>
          <w:szCs w:val="24"/>
          <w:highlight w:val="none"/>
          <w:u w:val="none"/>
          <w:lang w:eastAsia="zh-CN"/>
        </w:rPr>
        <w:t>乙方</w:t>
      </w:r>
      <w:r>
        <w:rPr>
          <w:rFonts w:hint="eastAsia" w:ascii="宋体" w:hAnsi="宋体" w:eastAsia="宋体" w:cs="宋体"/>
          <w:color w:val="auto"/>
          <w:sz w:val="24"/>
          <w:szCs w:val="24"/>
          <w:highlight w:val="none"/>
          <w:u w:val="none"/>
        </w:rPr>
        <w:t>编制进度计划时，应按天为单位考虑工作量，</w:t>
      </w:r>
      <w:r>
        <w:rPr>
          <w:rFonts w:hint="eastAsia" w:ascii="宋体" w:hAnsi="宋体" w:eastAsia="宋体" w:cs="宋体"/>
          <w:color w:val="auto"/>
          <w:sz w:val="24"/>
          <w:szCs w:val="24"/>
          <w:highlight w:val="none"/>
          <w:u w:val="none"/>
          <w:lang w:val="en-US" w:eastAsia="zh-CN"/>
        </w:rPr>
        <w:t>服务</w:t>
      </w:r>
      <w:r>
        <w:rPr>
          <w:rFonts w:hint="eastAsia" w:ascii="宋体" w:hAnsi="宋体" w:eastAsia="宋体" w:cs="宋体"/>
          <w:color w:val="auto"/>
          <w:sz w:val="24"/>
          <w:szCs w:val="24"/>
          <w:highlight w:val="none"/>
          <w:u w:val="none"/>
        </w:rPr>
        <w:t>期间</w:t>
      </w:r>
      <w:r>
        <w:rPr>
          <w:rFonts w:hint="eastAsia" w:ascii="宋体" w:hAnsi="宋体" w:eastAsia="宋体" w:cs="宋体"/>
          <w:color w:val="auto"/>
          <w:sz w:val="24"/>
          <w:szCs w:val="24"/>
          <w:highlight w:val="none"/>
          <w:u w:val="none"/>
          <w:lang w:eastAsia="zh-CN"/>
        </w:rPr>
        <w:t>甲方</w:t>
      </w:r>
      <w:r>
        <w:rPr>
          <w:rFonts w:hint="eastAsia" w:ascii="宋体" w:hAnsi="宋体" w:eastAsia="宋体" w:cs="宋体"/>
          <w:color w:val="auto"/>
          <w:sz w:val="24"/>
          <w:szCs w:val="24"/>
          <w:highlight w:val="none"/>
          <w:u w:val="none"/>
        </w:rPr>
        <w:t>将对照该进度计划进行考核，以每</w:t>
      </w:r>
      <w:bookmarkStart w:id="150" w:name="OLE_LINK9"/>
      <w:r>
        <w:rPr>
          <w:rFonts w:hint="eastAsia" w:ascii="宋体" w:hAnsi="宋体" w:eastAsia="宋体" w:cs="宋体"/>
          <w:color w:val="auto"/>
          <w:sz w:val="24"/>
          <w:szCs w:val="24"/>
          <w:highlight w:val="none"/>
          <w:u w:val="none"/>
        </w:rPr>
        <w:t>天(特殊情况考核周期可作适当调整)为一个考核周期。连续达两</w:t>
      </w:r>
      <w:bookmarkEnd w:id="150"/>
      <w:r>
        <w:rPr>
          <w:rFonts w:hint="eastAsia" w:ascii="宋体" w:hAnsi="宋体" w:eastAsia="宋体" w:cs="宋体"/>
          <w:color w:val="auto"/>
          <w:sz w:val="24"/>
          <w:szCs w:val="24"/>
          <w:highlight w:val="none"/>
          <w:u w:val="none"/>
        </w:rPr>
        <w:t>个（不含）以上考核期没完成进度计划的，</w:t>
      </w:r>
      <w:r>
        <w:rPr>
          <w:rFonts w:hint="eastAsia" w:ascii="宋体" w:hAnsi="宋体" w:eastAsia="宋体" w:cs="宋体"/>
          <w:color w:val="auto"/>
          <w:sz w:val="24"/>
          <w:szCs w:val="24"/>
          <w:highlight w:val="none"/>
          <w:u w:val="none"/>
          <w:lang w:eastAsia="zh-CN"/>
        </w:rPr>
        <w:t>甲方</w:t>
      </w:r>
      <w:r>
        <w:rPr>
          <w:rFonts w:hint="eastAsia" w:ascii="宋体" w:hAnsi="宋体" w:eastAsia="宋体" w:cs="宋体"/>
          <w:color w:val="auto"/>
          <w:sz w:val="24"/>
          <w:szCs w:val="24"/>
          <w:highlight w:val="none"/>
          <w:u w:val="none"/>
        </w:rPr>
        <w:t>有权委托第三方代为</w:t>
      </w:r>
      <w:r>
        <w:rPr>
          <w:rFonts w:hint="eastAsia" w:ascii="宋体" w:hAnsi="宋体" w:cs="宋体"/>
          <w:color w:val="auto"/>
          <w:sz w:val="24"/>
          <w:szCs w:val="24"/>
          <w:highlight w:val="none"/>
          <w:u w:val="none"/>
          <w:lang w:eastAsia="zh-CN"/>
        </w:rPr>
        <w:t>服务</w:t>
      </w:r>
      <w:r>
        <w:rPr>
          <w:rFonts w:hint="eastAsia" w:ascii="宋体" w:hAnsi="宋体" w:eastAsia="宋体" w:cs="宋体"/>
          <w:color w:val="auto"/>
          <w:sz w:val="24"/>
          <w:szCs w:val="24"/>
          <w:highlight w:val="none"/>
          <w:u w:val="none"/>
        </w:rPr>
        <w:t>，按发生的费用的双倍直接从</w:t>
      </w:r>
      <w:r>
        <w:rPr>
          <w:rFonts w:hint="eastAsia" w:ascii="宋体" w:hAnsi="宋体" w:eastAsia="宋体" w:cs="宋体"/>
          <w:color w:val="auto"/>
          <w:sz w:val="24"/>
          <w:szCs w:val="24"/>
          <w:highlight w:val="none"/>
          <w:u w:val="none"/>
          <w:lang w:eastAsia="zh-CN"/>
        </w:rPr>
        <w:t>乙方</w:t>
      </w:r>
      <w:r>
        <w:rPr>
          <w:rFonts w:hint="eastAsia" w:ascii="宋体" w:hAnsi="宋体" w:eastAsia="宋体" w:cs="宋体"/>
          <w:color w:val="auto"/>
          <w:sz w:val="24"/>
          <w:szCs w:val="24"/>
          <w:highlight w:val="none"/>
          <w:u w:val="none"/>
        </w:rPr>
        <w:t>款</w:t>
      </w:r>
      <w:r>
        <w:rPr>
          <w:rFonts w:hint="eastAsia" w:ascii="宋体" w:hAnsi="宋体" w:eastAsia="宋体" w:cs="宋体"/>
          <w:color w:val="auto"/>
          <w:sz w:val="24"/>
          <w:szCs w:val="24"/>
          <w:highlight w:val="none"/>
          <w:u w:val="none"/>
          <w:lang w:eastAsia="zh-CN"/>
        </w:rPr>
        <w:t>项</w:t>
      </w:r>
      <w:r>
        <w:rPr>
          <w:rFonts w:hint="eastAsia" w:ascii="宋体" w:hAnsi="宋体" w:eastAsia="宋体" w:cs="宋体"/>
          <w:color w:val="auto"/>
          <w:sz w:val="24"/>
          <w:szCs w:val="24"/>
          <w:highlight w:val="none"/>
          <w:u w:val="none"/>
        </w:rPr>
        <w:t>中扣除。</w:t>
      </w:r>
    </w:p>
    <w:p w14:paraId="5DC9486C">
      <w:pPr>
        <w:pStyle w:val="23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因</w:t>
      </w:r>
      <w:r>
        <w:rPr>
          <w:rFonts w:hint="eastAsia" w:ascii="宋体" w:hAnsi="宋体" w:eastAsia="宋体" w:cs="宋体"/>
          <w:color w:val="auto"/>
          <w:sz w:val="24"/>
          <w:szCs w:val="24"/>
          <w:highlight w:val="none"/>
          <w:u w:val="none"/>
          <w:lang w:eastAsia="zh-CN"/>
        </w:rPr>
        <w:t>乙方</w:t>
      </w:r>
      <w:r>
        <w:rPr>
          <w:rFonts w:hint="eastAsia" w:ascii="宋体" w:hAnsi="宋体" w:eastAsia="宋体" w:cs="宋体"/>
          <w:color w:val="auto"/>
          <w:sz w:val="24"/>
          <w:szCs w:val="24"/>
          <w:highlight w:val="none"/>
          <w:u w:val="none"/>
        </w:rPr>
        <w:t>原因造成</w:t>
      </w:r>
      <w:r>
        <w:rPr>
          <w:rFonts w:hint="eastAsia" w:hAnsi="宋体" w:cs="宋体"/>
          <w:color w:val="auto"/>
          <w:sz w:val="24"/>
          <w:szCs w:val="24"/>
          <w:highlight w:val="none"/>
          <w:u w:val="none"/>
          <w:lang w:eastAsia="zh-CN"/>
        </w:rPr>
        <w:t>服务期限延误</w:t>
      </w:r>
      <w:r>
        <w:rPr>
          <w:rFonts w:hint="eastAsia" w:ascii="宋体" w:hAnsi="宋体" w:eastAsia="宋体" w:cs="宋体"/>
          <w:color w:val="auto"/>
          <w:sz w:val="24"/>
          <w:szCs w:val="24"/>
          <w:highlight w:val="none"/>
          <w:u w:val="none"/>
        </w:rPr>
        <w:t>，逾期</w:t>
      </w:r>
      <w:r>
        <w:rPr>
          <w:rFonts w:hint="eastAsia" w:hAnsi="宋体" w:cs="宋体"/>
          <w:color w:val="auto"/>
          <w:sz w:val="24"/>
          <w:szCs w:val="24"/>
          <w:highlight w:val="none"/>
          <w:u w:val="none"/>
          <w:lang w:val="en-US" w:eastAsia="zh-CN"/>
        </w:rPr>
        <w:t>交付</w:t>
      </w:r>
      <w:r>
        <w:rPr>
          <w:rFonts w:hint="eastAsia" w:ascii="宋体" w:hAnsi="宋体" w:eastAsia="宋体" w:cs="宋体"/>
          <w:color w:val="auto"/>
          <w:sz w:val="24"/>
          <w:szCs w:val="24"/>
          <w:highlight w:val="none"/>
          <w:u w:val="none"/>
        </w:rPr>
        <w:t>违约金的上限：合同结算价格的10%。</w:t>
      </w:r>
    </w:p>
    <w:p w14:paraId="65C0368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4、项目服务</w:t>
      </w:r>
      <w:r>
        <w:rPr>
          <w:rFonts w:hint="eastAsia" w:ascii="宋体" w:hAnsi="宋体" w:eastAsia="宋体" w:cs="宋体"/>
          <w:color w:val="auto"/>
          <w:sz w:val="24"/>
          <w:szCs w:val="24"/>
          <w:highlight w:val="none"/>
        </w:rPr>
        <w:t>期间</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必须严格执行国家、地方政府有关安全管理方面的法律法规及规章制度，同时严格执行</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有关安全工作的指示。在养护过程中，</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应高度重视安全生产，严格遵守有关规定，以确保养护作业中人员、车辆和机械设备、公路设施的安全。否则，由此造成的损失由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承担。因</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养护工作不到位造成公众生命财产损害导致的责任与赔偿由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承担。</w:t>
      </w:r>
    </w:p>
    <w:p w14:paraId="67E3DD3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color w:val="auto"/>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在本合同服务期内，</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必须遵守国家有关环境保护的法令。如果由于</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的原因，破坏了环境而导致的损失和赔偿，则由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承担全部责任。</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在实施和完成本合同养护作业时必须承担因</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借用、占用或使用当地道路或其他交通设施所引起的补偿费、诉讼费、损害赔偿、指控费及其他开支。</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必须及时做好涉及相关道路的交通维护、保洁工作；项目实施过程中，应自觉保护好其他道路既有设施，确保不发生沿线扬尘、排污，从而不影响地方生活、生产和交通行车安全，不得污染环境和影响现有道路和在建其他道路的通行和作业；确保不因本项目实施而造成地方利益的损害，由此发生的一切协调、维护、维修费用均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承担。如</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在项目实施期间未能做好环境保护工作，使得周边环境遭到破坏或污染(包括扬尘污染),经</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认可后，按照5000元/次的标准从</w:t>
      </w:r>
      <w:r>
        <w:rPr>
          <w:rFonts w:hint="eastAsia" w:ascii="宋体" w:hAnsi="宋体" w:cs="宋体"/>
          <w:color w:val="auto"/>
          <w:sz w:val="24"/>
          <w:szCs w:val="24"/>
          <w:highlight w:val="none"/>
          <w:lang w:val="en-US" w:eastAsia="zh-CN"/>
        </w:rPr>
        <w:t>合同价</w:t>
      </w:r>
      <w:r>
        <w:rPr>
          <w:rFonts w:hint="eastAsia" w:ascii="宋体" w:hAnsi="宋体" w:eastAsia="宋体" w:cs="宋体"/>
          <w:color w:val="auto"/>
          <w:sz w:val="24"/>
          <w:szCs w:val="24"/>
          <w:highlight w:val="none"/>
        </w:rPr>
        <w:t>款中扣除</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的违约金。</w:t>
      </w:r>
    </w:p>
    <w:p w14:paraId="7552156E">
      <w:pPr>
        <w:widowControl/>
        <w:spacing w:line="360" w:lineRule="auto"/>
        <w:ind w:firstLine="422"/>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rPr>
        <w:t>第十条</w:t>
      </w:r>
      <w:r>
        <w:rPr>
          <w:rFonts w:hint="eastAsia" w:ascii="宋体" w:hAnsi="宋体" w:eastAsia="宋体" w:cs="宋体"/>
          <w:b/>
          <w:bCs/>
          <w:color w:val="auto"/>
          <w:sz w:val="24"/>
          <w:szCs w:val="24"/>
          <w:highlight w:val="none"/>
          <w:lang w:val="en-US"/>
        </w:rPr>
        <w:t xml:space="preserve"> 项目履约验收</w:t>
      </w:r>
    </w:p>
    <w:p w14:paraId="628C2A5C">
      <w:pPr>
        <w:widowControl/>
        <w:spacing w:line="360" w:lineRule="auto"/>
        <w:ind w:firstLine="420"/>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1、甲方有权对乙方项目</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lang w:val="en-US"/>
        </w:rPr>
        <w:t>过程及完成结果进行履约验收；</w:t>
      </w:r>
    </w:p>
    <w:p w14:paraId="5A2559AF">
      <w:pPr>
        <w:widowControl/>
        <w:spacing w:line="360" w:lineRule="auto"/>
        <w:ind w:firstLine="420"/>
        <w:jc w:val="left"/>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rPr>
        <w:t>、参与验收的第三方机构的意见</w:t>
      </w:r>
      <w:r>
        <w:rPr>
          <w:rFonts w:hint="eastAsia" w:ascii="宋体" w:hAnsi="宋体" w:cs="宋体"/>
          <w:color w:val="auto"/>
          <w:sz w:val="24"/>
          <w:szCs w:val="24"/>
          <w:highlight w:val="none"/>
          <w:lang w:val="en-US" w:eastAsia="zh-CN"/>
        </w:rPr>
        <w:t>纳入验收</w:t>
      </w:r>
      <w:r>
        <w:rPr>
          <w:rFonts w:hint="eastAsia" w:ascii="宋体" w:hAnsi="宋体" w:eastAsia="宋体" w:cs="宋体"/>
          <w:color w:val="auto"/>
          <w:sz w:val="24"/>
          <w:szCs w:val="24"/>
          <w:highlight w:val="none"/>
          <w:lang w:val="en-US"/>
        </w:rPr>
        <w:t>资料一并存档。</w:t>
      </w:r>
    </w:p>
    <w:p w14:paraId="0113A168">
      <w:pPr>
        <w:widowControl/>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w:t>
      </w:r>
      <w:r>
        <w:rPr>
          <w:rFonts w:hint="eastAsia" w:ascii="宋体"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条 合同的变更和终止</w:t>
      </w:r>
    </w:p>
    <w:p w14:paraId="3A9D7920">
      <w:pPr>
        <w:widowControl/>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w:t>
      </w:r>
      <w:r>
        <w:rPr>
          <w:rFonts w:hint="eastAsia" w:ascii="宋体" w:hAnsi="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政府采购法》第50条第二款规定的情形外，本合同一经签订，甲乙双方不得擅自变更、中止或终止合同。</w:t>
      </w:r>
    </w:p>
    <w:p w14:paraId="15E14B6B">
      <w:pPr>
        <w:widowControl/>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2、除发生法律规定的不能预见、不能避免并不能克服的客观情况外，甲乙双方不得放弃或拒绝履行合同。</w:t>
      </w:r>
    </w:p>
    <w:p w14:paraId="6CA08A2E">
      <w:pPr>
        <w:widowControl/>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cs="宋体"/>
          <w:b/>
          <w:bCs/>
          <w:color w:val="auto"/>
          <w:sz w:val="24"/>
          <w:szCs w:val="24"/>
          <w:highlight w:val="none"/>
          <w:lang w:val="en-US" w:eastAsia="zh-CN"/>
        </w:rPr>
        <w:t>十二</w:t>
      </w:r>
      <w:r>
        <w:rPr>
          <w:rFonts w:hint="eastAsia" w:ascii="宋体" w:hAnsi="宋体" w:eastAsia="宋体" w:cs="宋体"/>
          <w:b/>
          <w:bCs/>
          <w:color w:val="auto"/>
          <w:sz w:val="24"/>
          <w:szCs w:val="24"/>
          <w:highlight w:val="none"/>
        </w:rPr>
        <w:t>条 合同的转让</w:t>
      </w:r>
    </w:p>
    <w:p w14:paraId="3510EF72">
      <w:pPr>
        <w:widowControl/>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28849AF3">
      <w:pPr>
        <w:widowControl/>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cs="宋体"/>
          <w:b/>
          <w:bCs/>
          <w:color w:val="auto"/>
          <w:sz w:val="24"/>
          <w:szCs w:val="24"/>
          <w:highlight w:val="none"/>
          <w:lang w:val="en-US" w:eastAsia="zh-CN"/>
        </w:rPr>
        <w:t>十三</w:t>
      </w:r>
      <w:r>
        <w:rPr>
          <w:rFonts w:hint="eastAsia" w:ascii="宋体" w:hAnsi="宋体" w:eastAsia="宋体" w:cs="宋体"/>
          <w:b/>
          <w:bCs/>
          <w:color w:val="auto"/>
          <w:sz w:val="24"/>
          <w:szCs w:val="24"/>
          <w:highlight w:val="none"/>
        </w:rPr>
        <w:t>条 争议的解决</w:t>
      </w:r>
    </w:p>
    <w:p w14:paraId="62A286C2">
      <w:pPr>
        <w:widowControl/>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rPr>
        <w:t>）种方式解决争议：</w:t>
      </w:r>
    </w:p>
    <w:p w14:paraId="044FBCC8">
      <w:pPr>
        <w:widowControl/>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（1）向甲方所在地有管辖权的人民法院提起诉讼；</w:t>
      </w:r>
    </w:p>
    <w:p w14:paraId="5CFD5180">
      <w:pPr>
        <w:widowControl/>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w:t>
      </w:r>
      <w:r>
        <w:rPr>
          <w:rFonts w:hint="eastAsia" w:ascii="宋体" w:hAnsi="宋体" w:eastAsia="宋体" w:cs="宋体"/>
          <w:color w:val="auto"/>
          <w:sz w:val="24"/>
          <w:szCs w:val="24"/>
          <w:highlight w:val="none"/>
          <w:lang w:val="en-US" w:eastAsia="zh-CN"/>
        </w:rPr>
        <w:t>盐城</w:t>
      </w:r>
      <w:r>
        <w:rPr>
          <w:rFonts w:hint="eastAsia" w:ascii="宋体" w:hAnsi="宋体" w:eastAsia="宋体" w:cs="宋体"/>
          <w:color w:val="auto"/>
          <w:sz w:val="24"/>
          <w:szCs w:val="24"/>
          <w:highlight w:val="none"/>
        </w:rPr>
        <w:t>仲裁委员会按其仲裁规则申请仲裁。</w:t>
      </w:r>
    </w:p>
    <w:p w14:paraId="34FD3B67">
      <w:pPr>
        <w:widowControl/>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w:t>
      </w: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 xml:space="preserve">条 诚实信用 </w:t>
      </w:r>
    </w:p>
    <w:p w14:paraId="3BBE3480">
      <w:pPr>
        <w:widowControl/>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w:t>
      </w:r>
      <w:r>
        <w:rPr>
          <w:rFonts w:hint="eastAsia" w:ascii="宋体" w:hAnsi="宋体" w:eastAsia="宋体" w:cs="宋体"/>
          <w:color w:val="auto"/>
          <w:sz w:val="24"/>
          <w:szCs w:val="24"/>
          <w:highlight w:val="none"/>
          <w:lang w:val="en-US"/>
        </w:rPr>
        <w:t>招标</w:t>
      </w:r>
      <w:r>
        <w:rPr>
          <w:rFonts w:hint="eastAsia" w:ascii="宋体" w:hAnsi="宋体" w:eastAsia="宋体" w:cs="宋体"/>
          <w:color w:val="auto"/>
          <w:sz w:val="24"/>
          <w:szCs w:val="24"/>
          <w:highlight w:val="none"/>
        </w:rPr>
        <w:t>文件要求和服务承诺履行合同，不向甲方进行商业贿赂或者提供不正当利益。</w:t>
      </w:r>
    </w:p>
    <w:p w14:paraId="1FC09ED9">
      <w:pPr>
        <w:widowControl/>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w:t>
      </w:r>
      <w:r>
        <w:rPr>
          <w:rFonts w:hint="eastAsia" w:ascii="宋体" w:hAnsi="宋体" w:cs="宋体"/>
          <w:b/>
          <w:bCs/>
          <w:color w:val="auto"/>
          <w:sz w:val="24"/>
          <w:szCs w:val="24"/>
          <w:highlight w:val="none"/>
          <w:lang w:eastAsia="zh-CN"/>
        </w:rPr>
        <w:t>七</w:t>
      </w:r>
      <w:r>
        <w:rPr>
          <w:rFonts w:hint="eastAsia" w:ascii="宋体" w:hAnsi="宋体" w:eastAsia="宋体" w:cs="宋体"/>
          <w:b/>
          <w:bCs/>
          <w:color w:val="auto"/>
          <w:sz w:val="24"/>
          <w:szCs w:val="24"/>
          <w:highlight w:val="none"/>
        </w:rPr>
        <w:t>条 合同生效及其他</w:t>
      </w:r>
    </w:p>
    <w:p w14:paraId="1A9F7950">
      <w:pPr>
        <w:widowControl/>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1、本合同自双方法定代表人或者授权代理人签字并加盖公章或者合同专用章之日起生效。</w:t>
      </w:r>
    </w:p>
    <w:p w14:paraId="426847F3">
      <w:pPr>
        <w:widowControl/>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eastAsia="宋体" w:cs="宋体"/>
          <w:color w:val="auto"/>
          <w:sz w:val="24"/>
          <w:szCs w:val="24"/>
          <w:highlight w:val="none"/>
          <w:lang w:val="en-US"/>
        </w:rPr>
        <w:t>柒</w:t>
      </w:r>
      <w:r>
        <w:rPr>
          <w:rFonts w:hint="eastAsia" w:ascii="宋体" w:hAnsi="宋体" w:eastAsia="宋体" w:cs="宋体"/>
          <w:color w:val="auto"/>
          <w:sz w:val="24"/>
          <w:szCs w:val="24"/>
          <w:highlight w:val="none"/>
        </w:rPr>
        <w:t>份，甲乙双方各执</w:t>
      </w:r>
      <w:r>
        <w:rPr>
          <w:rFonts w:hint="eastAsia" w:ascii="宋体" w:hAnsi="宋体" w:eastAsia="宋体" w:cs="宋体"/>
          <w:color w:val="auto"/>
          <w:sz w:val="24"/>
          <w:szCs w:val="24"/>
          <w:highlight w:val="none"/>
          <w:lang w:val="en-US"/>
        </w:rPr>
        <w:t>叁</w:t>
      </w:r>
      <w:r>
        <w:rPr>
          <w:rFonts w:hint="eastAsia" w:ascii="宋体" w:hAnsi="宋体" w:eastAsia="宋体" w:cs="宋体"/>
          <w:color w:val="auto"/>
          <w:sz w:val="24"/>
          <w:szCs w:val="24"/>
          <w:highlight w:val="none"/>
        </w:rPr>
        <w:t>份，壹份交采购代理机构存档备案。</w:t>
      </w:r>
    </w:p>
    <w:p w14:paraId="683A6081">
      <w:pPr>
        <w:widowControl/>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rPr>
        <w:t>本合同未尽事宜，遵照《中华人民共和国民法典》</w:t>
      </w:r>
      <w:r>
        <w:rPr>
          <w:rFonts w:hint="eastAsia" w:hAnsi="宋体"/>
          <w:color w:val="auto"/>
          <w:sz w:val="24"/>
          <w:szCs w:val="24"/>
          <w:highlight w:val="none"/>
        </w:rPr>
        <w:t>《中华人民共和国政府采购法》</w:t>
      </w:r>
      <w:r>
        <w:rPr>
          <w:rFonts w:hint="eastAsia" w:hAnsi="宋体" w:cs="宋体"/>
          <w:color w:val="auto"/>
          <w:sz w:val="24"/>
          <w:szCs w:val="24"/>
          <w:highlight w:val="none"/>
        </w:rPr>
        <w:t>有关条文执行</w:t>
      </w:r>
      <w:r>
        <w:rPr>
          <w:rFonts w:hint="eastAsia" w:ascii="宋体" w:hAnsi="宋体" w:eastAsia="宋体" w:cs="宋体"/>
          <w:color w:val="auto"/>
          <w:sz w:val="24"/>
          <w:szCs w:val="24"/>
          <w:highlight w:val="none"/>
        </w:rPr>
        <w:t>。</w:t>
      </w:r>
    </w:p>
    <w:p w14:paraId="297F033D">
      <w:pPr>
        <w:widowControl/>
        <w:spacing w:line="360" w:lineRule="auto"/>
        <w:jc w:val="left"/>
        <w:rPr>
          <w:rFonts w:hint="eastAsia" w:ascii="宋体" w:hAnsi="宋体" w:eastAsia="宋体" w:cs="宋体"/>
          <w:color w:val="auto"/>
          <w:sz w:val="24"/>
          <w:szCs w:val="24"/>
          <w:highlight w:val="none"/>
        </w:rPr>
      </w:pPr>
    </w:p>
    <w:tbl>
      <w:tblPr>
        <w:tblStyle w:val="38"/>
        <w:tblW w:w="0" w:type="auto"/>
        <w:tblInd w:w="-108" w:type="dxa"/>
        <w:tblLayout w:type="fixed"/>
        <w:tblCellMar>
          <w:top w:w="0" w:type="dxa"/>
          <w:left w:w="0" w:type="dxa"/>
          <w:bottom w:w="0" w:type="dxa"/>
          <w:right w:w="0" w:type="dxa"/>
        </w:tblCellMar>
      </w:tblPr>
      <w:tblGrid>
        <w:gridCol w:w="4643"/>
        <w:gridCol w:w="4643"/>
      </w:tblGrid>
      <w:tr w14:paraId="0EE7EC9C">
        <w:tc>
          <w:tcPr>
            <w:tcW w:w="4643" w:type="dxa"/>
            <w:tcBorders>
              <w:top w:val="nil"/>
              <w:left w:val="nil"/>
              <w:bottom w:val="nil"/>
              <w:right w:val="nil"/>
            </w:tcBorders>
            <w:vAlign w:val="top"/>
          </w:tcPr>
          <w:p w14:paraId="13988204">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甲方：（盖章）</w:t>
            </w:r>
          </w:p>
        </w:tc>
        <w:tc>
          <w:tcPr>
            <w:tcW w:w="4643" w:type="dxa"/>
            <w:tcBorders>
              <w:top w:val="nil"/>
              <w:left w:val="nil"/>
              <w:bottom w:val="nil"/>
              <w:right w:val="nil"/>
            </w:tcBorders>
            <w:vAlign w:val="top"/>
          </w:tcPr>
          <w:p w14:paraId="026A9DF4">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乙方：（盖章）</w:t>
            </w:r>
          </w:p>
        </w:tc>
      </w:tr>
      <w:tr w14:paraId="50EFB210">
        <w:tblPrEx>
          <w:tblCellMar>
            <w:top w:w="0" w:type="dxa"/>
            <w:left w:w="0" w:type="dxa"/>
            <w:bottom w:w="0" w:type="dxa"/>
            <w:right w:w="0" w:type="dxa"/>
          </w:tblCellMar>
        </w:tblPrEx>
        <w:tc>
          <w:tcPr>
            <w:tcW w:w="4643" w:type="dxa"/>
            <w:tcBorders>
              <w:top w:val="nil"/>
              <w:left w:val="nil"/>
              <w:bottom w:val="nil"/>
              <w:right w:val="nil"/>
            </w:tcBorders>
            <w:vAlign w:val="top"/>
          </w:tcPr>
          <w:p w14:paraId="7B24BED1">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代表人：</w:t>
            </w:r>
          </w:p>
        </w:tc>
        <w:tc>
          <w:tcPr>
            <w:tcW w:w="4643" w:type="dxa"/>
            <w:tcBorders>
              <w:top w:val="nil"/>
              <w:left w:val="nil"/>
              <w:bottom w:val="nil"/>
              <w:right w:val="nil"/>
            </w:tcBorders>
            <w:vAlign w:val="top"/>
          </w:tcPr>
          <w:p w14:paraId="5FC0B3F1">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代表人：</w:t>
            </w:r>
          </w:p>
        </w:tc>
      </w:tr>
      <w:tr w14:paraId="6C7AADDF">
        <w:tblPrEx>
          <w:tblCellMar>
            <w:top w:w="0" w:type="dxa"/>
            <w:left w:w="0" w:type="dxa"/>
            <w:bottom w:w="0" w:type="dxa"/>
            <w:right w:w="0" w:type="dxa"/>
          </w:tblCellMar>
        </w:tblPrEx>
        <w:tc>
          <w:tcPr>
            <w:tcW w:w="4643" w:type="dxa"/>
            <w:tcBorders>
              <w:top w:val="nil"/>
              <w:left w:val="nil"/>
              <w:bottom w:val="nil"/>
              <w:right w:val="nil"/>
            </w:tcBorders>
            <w:vAlign w:val="top"/>
          </w:tcPr>
          <w:p w14:paraId="5CA50403">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tc>
        <w:tc>
          <w:tcPr>
            <w:tcW w:w="4643" w:type="dxa"/>
            <w:tcBorders>
              <w:top w:val="nil"/>
              <w:left w:val="nil"/>
              <w:bottom w:val="nil"/>
              <w:right w:val="nil"/>
            </w:tcBorders>
            <w:vAlign w:val="top"/>
          </w:tcPr>
          <w:p w14:paraId="22C21B87">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tc>
      </w:tr>
      <w:tr w14:paraId="0753777F">
        <w:tblPrEx>
          <w:tblCellMar>
            <w:top w:w="0" w:type="dxa"/>
            <w:left w:w="0" w:type="dxa"/>
            <w:bottom w:w="0" w:type="dxa"/>
            <w:right w:w="0" w:type="dxa"/>
          </w:tblCellMar>
        </w:tblPrEx>
        <w:tc>
          <w:tcPr>
            <w:tcW w:w="4643" w:type="dxa"/>
            <w:tcBorders>
              <w:top w:val="nil"/>
              <w:left w:val="nil"/>
              <w:bottom w:val="nil"/>
              <w:right w:val="nil"/>
            </w:tcBorders>
            <w:vAlign w:val="top"/>
          </w:tcPr>
          <w:p w14:paraId="62DC131D">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4643" w:type="dxa"/>
            <w:tcBorders>
              <w:top w:val="nil"/>
              <w:left w:val="nil"/>
              <w:bottom w:val="nil"/>
              <w:right w:val="nil"/>
            </w:tcBorders>
            <w:vAlign w:val="top"/>
          </w:tcPr>
          <w:p w14:paraId="2D613231">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r>
      <w:tr w14:paraId="5BFC8A1F">
        <w:tblPrEx>
          <w:tblCellMar>
            <w:top w:w="0" w:type="dxa"/>
            <w:left w:w="0" w:type="dxa"/>
            <w:bottom w:w="0" w:type="dxa"/>
            <w:right w:w="0" w:type="dxa"/>
          </w:tblCellMar>
        </w:tblPrEx>
        <w:tc>
          <w:tcPr>
            <w:tcW w:w="4643" w:type="dxa"/>
            <w:tcBorders>
              <w:top w:val="nil"/>
              <w:left w:val="nil"/>
              <w:bottom w:val="nil"/>
              <w:right w:val="nil"/>
            </w:tcBorders>
            <w:vAlign w:val="top"/>
          </w:tcPr>
          <w:p w14:paraId="5B850EBD">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p>
        </w:tc>
        <w:tc>
          <w:tcPr>
            <w:tcW w:w="4643" w:type="dxa"/>
            <w:tcBorders>
              <w:top w:val="nil"/>
              <w:left w:val="nil"/>
              <w:bottom w:val="nil"/>
              <w:right w:val="nil"/>
            </w:tcBorders>
            <w:vAlign w:val="top"/>
          </w:tcPr>
          <w:p w14:paraId="63F44DA9">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p>
        </w:tc>
      </w:tr>
      <w:tr w14:paraId="5172C26F">
        <w:tblPrEx>
          <w:tblCellMar>
            <w:top w:w="0" w:type="dxa"/>
            <w:left w:w="0" w:type="dxa"/>
            <w:bottom w:w="0" w:type="dxa"/>
            <w:right w:w="0" w:type="dxa"/>
          </w:tblCellMar>
        </w:tblPrEx>
        <w:tc>
          <w:tcPr>
            <w:tcW w:w="4643" w:type="dxa"/>
            <w:tcBorders>
              <w:top w:val="nil"/>
              <w:left w:val="nil"/>
              <w:bottom w:val="nil"/>
              <w:right w:val="nil"/>
            </w:tcBorders>
            <w:vAlign w:val="top"/>
          </w:tcPr>
          <w:p w14:paraId="10780B34">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采购代理机构：（盖章） </w:t>
            </w:r>
          </w:p>
        </w:tc>
        <w:tc>
          <w:tcPr>
            <w:tcW w:w="4643" w:type="dxa"/>
            <w:tcBorders>
              <w:top w:val="nil"/>
              <w:left w:val="nil"/>
              <w:bottom w:val="nil"/>
              <w:right w:val="nil"/>
            </w:tcBorders>
            <w:vAlign w:val="top"/>
          </w:tcPr>
          <w:p w14:paraId="658EF8A8">
            <w:pPr>
              <w:widowControl/>
              <w:spacing w:line="360" w:lineRule="auto"/>
              <w:jc w:val="left"/>
              <w:rPr>
                <w:rFonts w:hint="eastAsia" w:ascii="宋体" w:hAnsi="宋体" w:eastAsia="宋体" w:cs="宋体"/>
                <w:color w:val="auto"/>
                <w:sz w:val="24"/>
                <w:szCs w:val="24"/>
                <w:highlight w:val="none"/>
              </w:rPr>
            </w:pPr>
          </w:p>
        </w:tc>
      </w:tr>
      <w:tr w14:paraId="12C7A1B2">
        <w:tblPrEx>
          <w:tblCellMar>
            <w:top w:w="0" w:type="dxa"/>
            <w:left w:w="0" w:type="dxa"/>
            <w:bottom w:w="0" w:type="dxa"/>
            <w:right w:w="0" w:type="dxa"/>
          </w:tblCellMar>
        </w:tblPrEx>
        <w:tc>
          <w:tcPr>
            <w:tcW w:w="4643" w:type="dxa"/>
            <w:tcBorders>
              <w:top w:val="nil"/>
              <w:left w:val="nil"/>
              <w:bottom w:val="nil"/>
              <w:right w:val="nil"/>
            </w:tcBorders>
            <w:vAlign w:val="top"/>
          </w:tcPr>
          <w:p w14:paraId="561BB6BB">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合同备案联系方式：</w:t>
            </w:r>
          </w:p>
        </w:tc>
        <w:tc>
          <w:tcPr>
            <w:tcW w:w="4643" w:type="dxa"/>
            <w:tcBorders>
              <w:top w:val="nil"/>
              <w:left w:val="nil"/>
              <w:bottom w:val="nil"/>
              <w:right w:val="nil"/>
            </w:tcBorders>
            <w:vAlign w:val="top"/>
          </w:tcPr>
          <w:p w14:paraId="0CC98837">
            <w:pPr>
              <w:widowControl/>
              <w:spacing w:line="360" w:lineRule="auto"/>
              <w:jc w:val="left"/>
              <w:rPr>
                <w:rFonts w:hint="eastAsia" w:ascii="宋体" w:hAnsi="宋体" w:eastAsia="宋体" w:cs="宋体"/>
                <w:color w:val="auto"/>
                <w:sz w:val="24"/>
                <w:szCs w:val="24"/>
                <w:highlight w:val="none"/>
              </w:rPr>
            </w:pPr>
          </w:p>
        </w:tc>
      </w:tr>
      <w:tr w14:paraId="71BDAA14">
        <w:tblPrEx>
          <w:tblCellMar>
            <w:top w:w="0" w:type="dxa"/>
            <w:left w:w="0" w:type="dxa"/>
            <w:bottom w:w="0" w:type="dxa"/>
            <w:right w:w="0" w:type="dxa"/>
          </w:tblCellMar>
        </w:tblPrEx>
        <w:tc>
          <w:tcPr>
            <w:tcW w:w="4643" w:type="dxa"/>
            <w:tcBorders>
              <w:top w:val="nil"/>
              <w:left w:val="nil"/>
              <w:bottom w:val="nil"/>
              <w:right w:val="nil"/>
            </w:tcBorders>
            <w:vAlign w:val="top"/>
          </w:tcPr>
          <w:p w14:paraId="05054DB8">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     年    月    日</w:t>
            </w:r>
          </w:p>
        </w:tc>
        <w:tc>
          <w:tcPr>
            <w:tcW w:w="4643" w:type="dxa"/>
            <w:tcBorders>
              <w:top w:val="nil"/>
              <w:left w:val="nil"/>
              <w:bottom w:val="nil"/>
              <w:right w:val="nil"/>
            </w:tcBorders>
            <w:vAlign w:val="top"/>
          </w:tcPr>
          <w:p w14:paraId="75EB2DB1">
            <w:pPr>
              <w:widowControl/>
              <w:spacing w:line="360" w:lineRule="auto"/>
              <w:jc w:val="left"/>
              <w:rPr>
                <w:rFonts w:hint="eastAsia" w:ascii="宋体" w:hAnsi="宋体" w:eastAsia="宋体" w:cs="宋体"/>
                <w:color w:val="auto"/>
                <w:sz w:val="24"/>
                <w:szCs w:val="24"/>
                <w:highlight w:val="none"/>
              </w:rPr>
            </w:pPr>
          </w:p>
        </w:tc>
      </w:tr>
    </w:tbl>
    <w:p w14:paraId="0474236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szCs w:val="21"/>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第四章  采购需求</w:t>
      </w:r>
      <w:bookmarkStart w:id="151" w:name="_Toc120614281"/>
    </w:p>
    <w:p w14:paraId="2FA20592">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一、项目概述</w:t>
      </w:r>
    </w:p>
    <w:p w14:paraId="1CA1F44E">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盐城市区2025-2026年主要道路及节点时令花卉布置项目</w:t>
      </w:r>
    </w:p>
    <w:p w14:paraId="4E2A713E">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val="en-US" w:eastAsia="zh-CN"/>
        </w:rPr>
        <w:t>929886</w:t>
      </w: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元</w:t>
      </w:r>
    </w:p>
    <w:p w14:paraId="57D4E7AB">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最高限价：</w:t>
      </w:r>
      <w:r>
        <w:rPr>
          <w:rFonts w:hint="eastAsia" w:ascii="宋体" w:hAnsi="宋体" w:cs="宋体"/>
          <w:color w:val="auto"/>
          <w:sz w:val="24"/>
          <w:szCs w:val="24"/>
          <w:highlight w:val="none"/>
          <w:lang w:val="en-US" w:eastAsia="zh-CN"/>
        </w:rPr>
        <w:t>929886</w:t>
      </w: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元。报价超过最高限价的为无效报价，按照无效响应处理。</w:t>
      </w:r>
    </w:p>
    <w:p w14:paraId="2BE427D9">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采购内容：具体以清单及项目需求为准，</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保留对上述内容进行适当调整的权利。</w:t>
      </w:r>
    </w:p>
    <w:p w14:paraId="17C4D764">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合同履行期限：从合同签订日起至202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11月30日止，具体开始时间以采购人通知为准。根据采购人要求，更换指定时令花卉每年不少于4次（具体更换次数详按招标清单中要求执行）,经采购人同意后实施，时令花卉每次更换根据花卉长势，分段分批更换，每个地点更换空置期控制在2日内。</w:t>
      </w:r>
    </w:p>
    <w:p w14:paraId="674E6A60">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质量标准：</w:t>
      </w:r>
      <w:r>
        <w:rPr>
          <w:rFonts w:hint="eastAsia" w:ascii="宋体" w:hAnsi="宋体" w:cs="宋体"/>
          <w:color w:val="auto"/>
          <w:sz w:val="24"/>
          <w:szCs w:val="24"/>
          <w:highlight w:val="none"/>
          <w:lang w:val="en-US" w:eastAsia="zh-CN"/>
        </w:rPr>
        <w:t>一级养护</w:t>
      </w:r>
      <w:r>
        <w:rPr>
          <w:rFonts w:hint="eastAsia" w:ascii="宋体" w:hAnsi="宋体" w:eastAsia="宋体" w:cs="宋体"/>
          <w:color w:val="auto"/>
          <w:sz w:val="24"/>
          <w:szCs w:val="24"/>
          <w:highlight w:val="none"/>
        </w:rPr>
        <w:t>标准。</w:t>
      </w:r>
    </w:p>
    <w:p w14:paraId="47E6FEF8">
      <w:pPr>
        <w:spacing w:line="360" w:lineRule="auto"/>
        <w:ind w:firstLine="480"/>
        <w:rPr>
          <w:rFonts w:hint="default" w:ascii="宋体" w:hAnsi="宋体" w:eastAsia="宋体" w:cs="宋体"/>
          <w:color w:val="auto"/>
          <w:sz w:val="24"/>
          <w:szCs w:val="24"/>
          <w:highlight w:val="none"/>
          <w:u w:val="none"/>
          <w:lang w:val="en-US"/>
        </w:rPr>
      </w:pPr>
      <w:r>
        <w:rPr>
          <w:rFonts w:hint="eastAsia" w:ascii="宋体" w:hAnsi="宋体" w:eastAsia="宋体" w:cs="宋体"/>
          <w:b/>
          <w:bCs/>
          <w:i w:val="0"/>
          <w:iCs w:val="0"/>
          <w:color w:val="auto"/>
          <w:sz w:val="24"/>
          <w:szCs w:val="24"/>
          <w:highlight w:val="none"/>
          <w:u w:val="none"/>
          <w:lang w:val="en-US" w:eastAsia="zh-CN"/>
        </w:rPr>
        <w:t>1.7由于建军路</w:t>
      </w:r>
      <w:r>
        <w:rPr>
          <w:rFonts w:hint="eastAsia" w:ascii="宋体" w:hAnsi="宋体" w:cs="宋体"/>
          <w:b/>
          <w:bCs/>
          <w:i w:val="0"/>
          <w:iCs w:val="0"/>
          <w:color w:val="auto"/>
          <w:sz w:val="24"/>
          <w:szCs w:val="24"/>
          <w:highlight w:val="none"/>
          <w:u w:val="none"/>
          <w:lang w:val="en-US" w:eastAsia="zh-CN"/>
        </w:rPr>
        <w:t>相关</w:t>
      </w:r>
      <w:r>
        <w:rPr>
          <w:rFonts w:hint="eastAsia" w:ascii="宋体" w:hAnsi="宋体" w:eastAsia="宋体" w:cs="宋体"/>
          <w:b/>
          <w:bCs/>
          <w:i w:val="0"/>
          <w:iCs w:val="0"/>
          <w:color w:val="auto"/>
          <w:sz w:val="24"/>
          <w:szCs w:val="24"/>
          <w:highlight w:val="none"/>
          <w:u w:val="none"/>
          <w:lang w:val="en-US" w:eastAsia="zh-CN"/>
        </w:rPr>
        <w:t>项目影响</w:t>
      </w:r>
      <w:r>
        <w:rPr>
          <w:rFonts w:hint="eastAsia" w:ascii="宋体" w:hAnsi="宋体" w:cs="宋体"/>
          <w:b/>
          <w:bCs/>
          <w:i w:val="0"/>
          <w:iCs w:val="0"/>
          <w:color w:val="auto"/>
          <w:sz w:val="24"/>
          <w:szCs w:val="24"/>
          <w:highlight w:val="none"/>
          <w:u w:val="none"/>
          <w:lang w:val="en-US" w:eastAsia="zh-CN"/>
        </w:rPr>
        <w:t>，本项目</w:t>
      </w:r>
      <w:r>
        <w:rPr>
          <w:rFonts w:hint="eastAsia" w:ascii="宋体" w:hAnsi="宋体" w:eastAsia="宋体" w:cs="宋体"/>
          <w:b/>
          <w:bCs/>
          <w:color w:val="auto"/>
          <w:sz w:val="24"/>
          <w:szCs w:val="24"/>
          <w:highlight w:val="none"/>
          <w:u w:val="none"/>
          <w:lang w:val="en-US" w:eastAsia="zh-CN"/>
        </w:rPr>
        <w:t>建军路（解放路—小洋河）</w:t>
      </w:r>
      <w:r>
        <w:rPr>
          <w:rFonts w:hint="eastAsia" w:ascii="宋体" w:hAnsi="宋体" w:cs="宋体"/>
          <w:b/>
          <w:bCs/>
          <w:color w:val="auto"/>
          <w:sz w:val="24"/>
          <w:szCs w:val="24"/>
          <w:highlight w:val="none"/>
          <w:u w:val="none"/>
          <w:lang w:val="en-US" w:eastAsia="zh-CN"/>
        </w:rPr>
        <w:t>区域</w:t>
      </w:r>
      <w:r>
        <w:rPr>
          <w:rFonts w:hint="eastAsia" w:ascii="宋体" w:hAnsi="宋体" w:eastAsia="宋体" w:cs="宋体"/>
          <w:b/>
          <w:bCs/>
          <w:i w:val="0"/>
          <w:iCs w:val="0"/>
          <w:color w:val="auto"/>
          <w:sz w:val="24"/>
          <w:szCs w:val="24"/>
          <w:highlight w:val="none"/>
          <w:u w:val="none"/>
          <w:lang w:val="en-US" w:eastAsia="zh-CN"/>
        </w:rPr>
        <w:t>草花第一遍布置时间为2026年春节前，其他区域</w:t>
      </w:r>
      <w:r>
        <w:rPr>
          <w:rFonts w:hint="eastAsia" w:ascii="宋体" w:hAnsi="宋体" w:cs="宋体"/>
          <w:b/>
          <w:bCs/>
          <w:i w:val="0"/>
          <w:iCs w:val="0"/>
          <w:color w:val="auto"/>
          <w:sz w:val="24"/>
          <w:szCs w:val="24"/>
          <w:highlight w:val="none"/>
          <w:u w:val="none"/>
          <w:lang w:val="en-US" w:eastAsia="zh-CN"/>
        </w:rPr>
        <w:t>第一遍布置时间为冬季，供应商须充分考虑季节气候因素布置，</w:t>
      </w:r>
      <w:r>
        <w:rPr>
          <w:rFonts w:hint="eastAsia" w:ascii="宋体" w:hAnsi="宋体" w:eastAsia="宋体" w:cs="宋体"/>
          <w:b/>
          <w:bCs/>
          <w:i w:val="0"/>
          <w:iCs w:val="0"/>
          <w:color w:val="auto"/>
          <w:sz w:val="24"/>
          <w:szCs w:val="24"/>
          <w:highlight w:val="none"/>
          <w:u w:val="none"/>
          <w:lang w:val="en-US" w:eastAsia="zh-CN"/>
        </w:rPr>
        <w:t>采购人不承担因此产生的任何费用。</w:t>
      </w:r>
    </w:p>
    <w:p w14:paraId="7420A320">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控制价编制依据：同清单及编制说明。</w:t>
      </w:r>
    </w:p>
    <w:p w14:paraId="32EF9CB5">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※已标价清单必须按照招标文件所提供的格式填入，其格式不得作任何改变，不得增加、减少、修改、调整。</w:t>
      </w:r>
      <w:r>
        <w:rPr>
          <w:rFonts w:hint="eastAsia" w:ascii="宋体" w:hAnsi="宋体" w:cs="宋体"/>
          <w:b/>
          <w:bCs/>
          <w:color w:val="auto"/>
          <w:sz w:val="24"/>
          <w:szCs w:val="24"/>
          <w:highlight w:val="none"/>
          <w:lang w:eastAsia="zh-CN"/>
        </w:rPr>
        <w:t>采购人</w:t>
      </w:r>
      <w:r>
        <w:rPr>
          <w:rFonts w:hint="eastAsia" w:ascii="宋体" w:hAnsi="宋体" w:eastAsia="宋体" w:cs="宋体"/>
          <w:b/>
          <w:bCs/>
          <w:color w:val="auto"/>
          <w:sz w:val="24"/>
          <w:szCs w:val="24"/>
          <w:highlight w:val="none"/>
        </w:rPr>
        <w:t>提供的清单中的项目编码、项目名称、计量单位、数量、暂定的价格或者费用、材料规格或者型号等特殊要求，不得作任何更改变动，否则作无效标处理。</w:t>
      </w:r>
    </w:p>
    <w:p w14:paraId="046C3BAA">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二、踏勘现场</w:t>
      </w:r>
    </w:p>
    <w:p w14:paraId="70C41824">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应自行到现场进行踏勘，并主动向采购人了解</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情况，索取投标所需要的资料，了解现场区域划分位置。充分了解</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位置、情况、道路、储存空间、装卸限制等相关要求、任何其它足以影响投标报价的情况；同时要求各</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自行在现场实际踏勘、并将可能发生的相关费用全部考虑到投标报价中。任何因忽视或误解</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情况而导致的费用索赔或</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 xml:space="preserve">期延长的申请将不被批准，均由中标人自行承担。 </w:t>
      </w:r>
    </w:p>
    <w:p w14:paraId="43F6CAAB">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投标人踏勘现场发生的费用自理。</w:t>
      </w:r>
    </w:p>
    <w:p w14:paraId="3E69BA5F">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除采购人的原因外，</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自行负责在踏勘现场中所发生的人员伤亡和财产损失。</w:t>
      </w:r>
    </w:p>
    <w:p w14:paraId="57D830BD">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三、技术条款</w:t>
      </w:r>
    </w:p>
    <w:p w14:paraId="13AB3C44">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 xml:space="preserve">适用标准、规范名称：《城市绿化用植物材料木本苗》（DB11/T211-2003)、《城市园林绿化养护管理标准》（DB11/T213-2003)、《绿地养护等级标准》（苏建园［2002］178号）、《江苏省城市园林绿化植物种植技术规定（试行）》、《江苏省城市园林绿化植物养护技术规定（试行）》。  </w:t>
      </w:r>
    </w:p>
    <w:p w14:paraId="128D8597">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应按本合同约定的时间和要求完成以下工作：</w:t>
      </w:r>
    </w:p>
    <w:p w14:paraId="6154B0A3">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rPr>
        <w:t>应提供计划、报表的名称及完成时间：按</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 xml:space="preserve">和监理的要求。         </w:t>
      </w:r>
    </w:p>
    <w:p w14:paraId="3D34CE6C">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承担协调解决</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实施中的各种矛盾及费用。</w:t>
      </w:r>
    </w:p>
    <w:p w14:paraId="1967DB1E">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负责已</w:t>
      </w:r>
      <w:r>
        <w:rPr>
          <w:rFonts w:hint="eastAsia" w:ascii="宋体" w:hAnsi="宋体" w:eastAsia="宋体" w:cs="宋体"/>
          <w:color w:val="auto"/>
          <w:sz w:val="24"/>
          <w:szCs w:val="24"/>
          <w:highlight w:val="none"/>
          <w:lang w:val="en-US" w:eastAsia="zh-CN"/>
        </w:rPr>
        <w:t>完</w:t>
      </w:r>
      <w:r>
        <w:rPr>
          <w:rFonts w:hint="eastAsia" w:ascii="宋体" w:hAnsi="宋体" w:cs="宋体"/>
          <w:color w:val="auto"/>
          <w:sz w:val="24"/>
          <w:szCs w:val="24"/>
          <w:highlight w:val="none"/>
          <w:lang w:val="en-US" w:eastAsia="zh-CN"/>
        </w:rPr>
        <w:t>成</w:t>
      </w:r>
      <w:r>
        <w:rPr>
          <w:rFonts w:hint="eastAsia" w:ascii="宋体" w:hAnsi="宋体" w:eastAsia="宋体" w:cs="宋体"/>
          <w:color w:val="auto"/>
          <w:sz w:val="24"/>
          <w:szCs w:val="24"/>
          <w:highlight w:val="none"/>
        </w:rPr>
        <w:t>但未交付</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之前的</w:t>
      </w:r>
      <w:r>
        <w:rPr>
          <w:rFonts w:hint="eastAsia" w:ascii="宋体" w:hAnsi="宋体" w:eastAsia="宋体" w:cs="宋体"/>
          <w:color w:val="auto"/>
          <w:sz w:val="24"/>
          <w:szCs w:val="24"/>
          <w:highlight w:val="none"/>
          <w:lang w:val="en-US" w:eastAsia="zh-CN"/>
        </w:rPr>
        <w:t>花卉</w:t>
      </w:r>
      <w:r>
        <w:rPr>
          <w:rFonts w:hint="eastAsia" w:ascii="宋体" w:hAnsi="宋体" w:eastAsia="宋体" w:cs="宋体"/>
          <w:color w:val="auto"/>
          <w:sz w:val="24"/>
          <w:szCs w:val="24"/>
          <w:highlight w:val="none"/>
        </w:rPr>
        <w:t>保护工作</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承担费用；对</w:t>
      </w:r>
      <w:r>
        <w:rPr>
          <w:rFonts w:hint="eastAsia" w:ascii="宋体" w:hAnsi="宋体" w:eastAsia="宋体" w:cs="宋体"/>
          <w:color w:val="auto"/>
          <w:sz w:val="24"/>
          <w:szCs w:val="24"/>
          <w:highlight w:val="none"/>
          <w:lang w:val="en-US" w:eastAsia="zh-CN"/>
        </w:rPr>
        <w:t>花卉</w:t>
      </w:r>
      <w:r>
        <w:rPr>
          <w:rFonts w:hint="eastAsia" w:ascii="宋体" w:hAnsi="宋体" w:eastAsia="宋体" w:cs="宋体"/>
          <w:color w:val="auto"/>
          <w:sz w:val="24"/>
          <w:szCs w:val="24"/>
          <w:highlight w:val="none"/>
        </w:rPr>
        <w:t>成品保护的特殊要求及费用承担：</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负责做好</w:t>
      </w:r>
      <w:r>
        <w:rPr>
          <w:rFonts w:hint="eastAsia" w:ascii="宋体" w:hAnsi="宋体" w:eastAsia="宋体" w:cs="宋体"/>
          <w:color w:val="auto"/>
          <w:sz w:val="24"/>
          <w:szCs w:val="24"/>
          <w:highlight w:val="none"/>
          <w:lang w:val="en-US" w:eastAsia="zh-CN"/>
        </w:rPr>
        <w:t>花卉</w:t>
      </w:r>
      <w:r>
        <w:rPr>
          <w:rFonts w:hint="eastAsia" w:ascii="宋体" w:hAnsi="宋体" w:eastAsia="宋体" w:cs="宋体"/>
          <w:color w:val="auto"/>
          <w:sz w:val="24"/>
          <w:szCs w:val="24"/>
          <w:highlight w:val="none"/>
        </w:rPr>
        <w:t>成品保护，并承担相应的费用。</w:t>
      </w:r>
    </w:p>
    <w:p w14:paraId="2CEFF3EB">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双方约定的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应做的其他工作：招标时，</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已要求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自行到现场踏勘。</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仅提供现有的场地现状，</w:t>
      </w:r>
      <w:r>
        <w:rPr>
          <w:rFonts w:hint="eastAsia" w:ascii="宋体" w:hAnsi="宋体" w:cs="宋体"/>
          <w:color w:val="auto"/>
          <w:sz w:val="24"/>
          <w:szCs w:val="24"/>
          <w:highlight w:val="none"/>
          <w:lang w:val="en-US" w:eastAsia="zh-CN"/>
        </w:rPr>
        <w:t>养护</w:t>
      </w:r>
      <w:r>
        <w:rPr>
          <w:rFonts w:hint="eastAsia" w:ascii="宋体" w:hAnsi="宋体" w:eastAsia="宋体" w:cs="宋体"/>
          <w:color w:val="auto"/>
          <w:sz w:val="24"/>
          <w:szCs w:val="24"/>
          <w:highlight w:val="none"/>
        </w:rPr>
        <w:t>用水、电手续由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自行办理，其费用由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自行挂表并到相关部门缴纳，此费用已经包含在合同价中，结算时不另行调整。 </w:t>
      </w:r>
    </w:p>
    <w:p w14:paraId="2C35C826">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安全</w:t>
      </w:r>
      <w:r>
        <w:rPr>
          <w:rFonts w:hint="eastAsia" w:ascii="宋体" w:hAnsi="宋体" w:eastAsia="宋体" w:cs="宋体"/>
          <w:color w:val="auto"/>
          <w:sz w:val="24"/>
          <w:szCs w:val="24"/>
          <w:highlight w:val="none"/>
          <w:lang w:val="en-US" w:eastAsia="zh-CN"/>
        </w:rPr>
        <w:t>要求</w:t>
      </w:r>
    </w:p>
    <w:p w14:paraId="40C2D753">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应遵守安全生产有关管理规定，严格按安全标准组织</w:t>
      </w:r>
      <w:r>
        <w:rPr>
          <w:rFonts w:hint="eastAsia" w:ascii="宋体" w:hAnsi="宋体" w:cs="宋体"/>
          <w:color w:val="auto"/>
          <w:sz w:val="24"/>
          <w:szCs w:val="24"/>
          <w:highlight w:val="none"/>
          <w:lang w:val="en-US" w:eastAsia="zh-CN"/>
        </w:rPr>
        <w:t>养护服务</w:t>
      </w:r>
      <w:r>
        <w:rPr>
          <w:rFonts w:hint="eastAsia" w:ascii="宋体" w:hAnsi="宋体" w:eastAsia="宋体" w:cs="宋体"/>
          <w:color w:val="auto"/>
          <w:sz w:val="24"/>
          <w:szCs w:val="24"/>
          <w:highlight w:val="none"/>
        </w:rPr>
        <w:t>，并随时接受行业安全检查人员依法实施的监督检查，采取必要的安全防护措施，消除事故隐患。由于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安全措施不力造成事故的责任和因此发生的费用，由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承担。</w:t>
      </w:r>
    </w:p>
    <w:p w14:paraId="261947E6">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应对其在场地的工作人员进行安全教育，并对他们的安全负责。</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不得要求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违反安全管理的规定进行</w:t>
      </w:r>
      <w:r>
        <w:rPr>
          <w:rFonts w:hint="eastAsia" w:ascii="宋体" w:hAnsi="宋体" w:eastAsia="宋体" w:cs="宋体"/>
          <w:color w:val="auto"/>
          <w:sz w:val="24"/>
          <w:szCs w:val="24"/>
          <w:highlight w:val="none"/>
          <w:lang w:val="en-US" w:eastAsia="zh-CN"/>
        </w:rPr>
        <w:t>实施</w:t>
      </w:r>
      <w:r>
        <w:rPr>
          <w:rFonts w:hint="eastAsia" w:ascii="宋体" w:hAnsi="宋体" w:eastAsia="宋体" w:cs="宋体"/>
          <w:color w:val="auto"/>
          <w:sz w:val="24"/>
          <w:szCs w:val="24"/>
          <w:highlight w:val="none"/>
        </w:rPr>
        <w:t>。</w:t>
      </w:r>
    </w:p>
    <w:p w14:paraId="5BEB7E0A">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3.3发生重大伤亡及其他安全事故，</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应按有关规定立即上报有关部门并通知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，同时按政府有关部门要求处理，由事故责任方承担发生的费用。</w:t>
      </w:r>
    </w:p>
    <w:p w14:paraId="6D01D29D">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3.4</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对事故责任有争议时，应按政府有关部门认定处理。</w:t>
      </w:r>
    </w:p>
    <w:p w14:paraId="48492B7A">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质量</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国家</w:t>
      </w:r>
      <w:r>
        <w:rPr>
          <w:rFonts w:hint="eastAsia" w:ascii="宋体" w:hAnsi="宋体" w:eastAsia="宋体" w:cs="宋体"/>
          <w:color w:val="auto"/>
          <w:sz w:val="24"/>
          <w:szCs w:val="24"/>
          <w:highlight w:val="none"/>
        </w:rPr>
        <w:t>合格</w:t>
      </w:r>
      <w:r>
        <w:rPr>
          <w:rFonts w:hint="eastAsia" w:ascii="宋体" w:hAnsi="宋体" w:eastAsia="宋体" w:cs="宋体"/>
          <w:color w:val="auto"/>
          <w:sz w:val="24"/>
          <w:szCs w:val="24"/>
          <w:highlight w:val="none"/>
          <w:lang w:val="en-US" w:eastAsia="zh-CN"/>
        </w:rPr>
        <w:t>标准</w:t>
      </w:r>
      <w:r>
        <w:rPr>
          <w:rFonts w:hint="eastAsia" w:ascii="宋体" w:hAnsi="宋体" w:eastAsia="宋体" w:cs="宋体"/>
          <w:color w:val="auto"/>
          <w:sz w:val="24"/>
          <w:szCs w:val="24"/>
          <w:highlight w:val="none"/>
        </w:rPr>
        <w:t>（花草长势良好、美观、无杂草、无病虫害、花卉植株大小基本一致）。</w:t>
      </w:r>
    </w:p>
    <w:p w14:paraId="4C66CB60">
      <w:pPr>
        <w:pStyle w:val="231"/>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没有</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事先书面同意，</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不得将由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提供的有关合同或任何合同条文、规格、计划、样品或资料提供给与履行本合同无关的任何其他人。即使向履行本合同有关的人员提供，也应注意保密并限于履行合同的必需范围。</w:t>
      </w:r>
    </w:p>
    <w:p w14:paraId="75C45C4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rPr>
        <w:t>其他说明：①花草若不成活，及时</w:t>
      </w:r>
      <w:r>
        <w:rPr>
          <w:rFonts w:hint="eastAsia" w:ascii="宋体" w:hAnsi="宋体" w:cs="宋体"/>
          <w:color w:val="auto"/>
          <w:sz w:val="24"/>
          <w:szCs w:val="24"/>
          <w:highlight w:val="none"/>
          <w:lang w:val="en-US" w:eastAsia="zh-CN"/>
        </w:rPr>
        <w:t>整改</w:t>
      </w:r>
      <w:r>
        <w:rPr>
          <w:rFonts w:hint="eastAsia" w:ascii="宋体" w:hAnsi="宋体" w:eastAsia="宋体" w:cs="宋体"/>
          <w:color w:val="auto"/>
          <w:sz w:val="24"/>
          <w:szCs w:val="24"/>
          <w:highlight w:val="none"/>
        </w:rPr>
        <w:t>。②</w:t>
      </w:r>
      <w:r>
        <w:rPr>
          <w:rFonts w:hint="eastAsia" w:ascii="宋体" w:hAnsi="宋体" w:cs="宋体"/>
          <w:color w:val="auto"/>
          <w:sz w:val="24"/>
          <w:szCs w:val="24"/>
          <w:highlight w:val="none"/>
          <w:lang w:val="en-US" w:eastAsia="zh-CN"/>
        </w:rPr>
        <w:t>养护服务</w:t>
      </w:r>
      <w:r>
        <w:rPr>
          <w:rFonts w:hint="eastAsia" w:ascii="宋体" w:hAnsi="宋体" w:eastAsia="宋体" w:cs="宋体"/>
          <w:color w:val="auto"/>
          <w:sz w:val="24"/>
          <w:szCs w:val="24"/>
          <w:highlight w:val="none"/>
        </w:rPr>
        <w:t>时须考虑道路、隔离设施的保护，如因</w:t>
      </w:r>
      <w:r>
        <w:rPr>
          <w:rFonts w:hint="eastAsia" w:ascii="宋体" w:hAnsi="宋体" w:eastAsia="宋体" w:cs="宋体"/>
          <w:color w:val="auto"/>
          <w:sz w:val="24"/>
          <w:szCs w:val="24"/>
          <w:highlight w:val="none"/>
          <w:lang w:val="en-US" w:eastAsia="zh-CN"/>
        </w:rPr>
        <w:t>服务时</w:t>
      </w:r>
      <w:r>
        <w:rPr>
          <w:rFonts w:hint="eastAsia" w:ascii="宋体" w:hAnsi="宋体" w:eastAsia="宋体" w:cs="宋体"/>
          <w:color w:val="auto"/>
          <w:sz w:val="24"/>
          <w:szCs w:val="24"/>
          <w:highlight w:val="none"/>
        </w:rPr>
        <w:t>造成破坏，</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单位须无条件赔偿。结束后须将道路清洗干净。③</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技术人员要求整改的，无论什么情况下、无论几次，必须无条件服从，必须以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满意为准。本项费用含在投标报价中。④必须确保安全，如因</w:t>
      </w:r>
      <w:r>
        <w:rPr>
          <w:rFonts w:hint="eastAsia" w:ascii="宋体" w:hAnsi="宋体" w:cs="宋体"/>
          <w:color w:val="auto"/>
          <w:sz w:val="24"/>
          <w:szCs w:val="24"/>
          <w:highlight w:val="none"/>
          <w:lang w:val="en-US" w:eastAsia="zh-CN"/>
        </w:rPr>
        <w:t>养护服务</w:t>
      </w:r>
      <w:r>
        <w:rPr>
          <w:rFonts w:hint="eastAsia" w:ascii="宋体" w:hAnsi="宋体" w:eastAsia="宋体" w:cs="宋体"/>
          <w:color w:val="auto"/>
          <w:sz w:val="24"/>
          <w:szCs w:val="24"/>
          <w:highlight w:val="none"/>
        </w:rPr>
        <w:t>造成的一切安全责任均由</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单位承担。</w:t>
      </w:r>
    </w:p>
    <w:p w14:paraId="66B4DFBF">
      <w:pPr>
        <w:pStyle w:val="225"/>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firstLine="723" w:firstLineChars="3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四、技术方案要求</w:t>
      </w:r>
    </w:p>
    <w:p w14:paraId="4C7271A9">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技术</w:t>
      </w:r>
      <w:r>
        <w:rPr>
          <w:rFonts w:hint="eastAsia" w:ascii="宋体" w:hAnsi="宋体" w:eastAsia="宋体" w:cs="宋体"/>
          <w:color w:val="auto"/>
          <w:sz w:val="24"/>
          <w:highlight w:val="none"/>
        </w:rPr>
        <w:t>方案整体要求内容准确、全面</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有效</w:t>
      </w:r>
      <w:r>
        <w:rPr>
          <w:rFonts w:hint="eastAsia" w:ascii="宋体" w:hAnsi="宋体" w:eastAsia="宋体" w:cs="宋体"/>
          <w:color w:val="auto"/>
          <w:sz w:val="24"/>
          <w:highlight w:val="none"/>
        </w:rPr>
        <w:t>，结合本项目特</w:t>
      </w:r>
      <w:r>
        <w:rPr>
          <w:rFonts w:hint="eastAsia" w:ascii="宋体" w:hAnsi="宋体" w:eastAsia="宋体" w:cs="宋体"/>
          <w:color w:val="auto"/>
          <w:sz w:val="24"/>
          <w:highlight w:val="none"/>
          <w:lang w:val="en-US" w:eastAsia="zh-CN"/>
        </w:rPr>
        <w:t>点</w:t>
      </w:r>
      <w:r>
        <w:rPr>
          <w:rFonts w:hint="eastAsia" w:ascii="宋体" w:hAnsi="宋体" w:eastAsia="宋体" w:cs="宋体"/>
          <w:color w:val="auto"/>
          <w:sz w:val="24"/>
          <w:highlight w:val="none"/>
        </w:rPr>
        <w:t>，具备可操作性、</w:t>
      </w:r>
      <w:r>
        <w:rPr>
          <w:rFonts w:hint="eastAsia" w:ascii="宋体" w:hAnsi="宋体" w:eastAsia="宋体" w:cs="宋体"/>
          <w:color w:val="auto"/>
          <w:sz w:val="24"/>
          <w:highlight w:val="none"/>
          <w:lang w:val="en-US" w:eastAsia="zh-CN"/>
        </w:rPr>
        <w:t>专业</w:t>
      </w:r>
      <w:r>
        <w:rPr>
          <w:rFonts w:hint="eastAsia" w:ascii="宋体" w:hAnsi="宋体" w:eastAsia="宋体" w:cs="宋体"/>
          <w:color w:val="auto"/>
          <w:sz w:val="24"/>
          <w:highlight w:val="none"/>
        </w:rPr>
        <w:t>性、安全性、经济性、</w:t>
      </w:r>
      <w:r>
        <w:rPr>
          <w:rFonts w:hint="eastAsia" w:ascii="宋体" w:hAnsi="宋体" w:eastAsia="宋体" w:cs="宋体"/>
          <w:color w:val="auto"/>
          <w:sz w:val="24"/>
          <w:highlight w:val="none"/>
          <w:lang w:val="en-US" w:eastAsia="zh-CN"/>
        </w:rPr>
        <w:t>高效</w:t>
      </w:r>
      <w:r>
        <w:rPr>
          <w:rFonts w:hint="eastAsia" w:ascii="宋体" w:hAnsi="宋体" w:eastAsia="宋体" w:cs="宋体"/>
          <w:color w:val="auto"/>
          <w:sz w:val="24"/>
          <w:highlight w:val="none"/>
        </w:rPr>
        <w:t>性等，方案要点如下，具体量化指标可参考：</w:t>
      </w:r>
    </w:p>
    <w:p w14:paraId="7209781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4.1</w:t>
      </w:r>
      <w:r>
        <w:rPr>
          <w:rFonts w:hint="eastAsia" w:ascii="宋体" w:hAnsi="宋体" w:eastAsia="宋体" w:cs="宋体"/>
          <w:b w:val="0"/>
          <w:bCs w:val="0"/>
          <w:color w:val="auto"/>
          <w:sz w:val="24"/>
          <w:szCs w:val="24"/>
          <w:highlight w:val="none"/>
        </w:rPr>
        <w:t>花箱花卉及</w:t>
      </w:r>
      <w:r>
        <w:rPr>
          <w:rFonts w:hint="eastAsia" w:ascii="宋体" w:hAnsi="宋体" w:eastAsia="宋体" w:cs="宋体"/>
          <w:b w:val="0"/>
          <w:bCs w:val="0"/>
          <w:color w:val="auto"/>
          <w:sz w:val="24"/>
          <w:szCs w:val="24"/>
          <w:highlight w:val="none"/>
          <w:lang w:val="en-US" w:eastAsia="zh-CN"/>
        </w:rPr>
        <w:t>空地</w:t>
      </w:r>
      <w:r>
        <w:rPr>
          <w:rFonts w:hint="eastAsia" w:ascii="宋体" w:hAnsi="宋体" w:cs="宋体"/>
          <w:b w:val="0"/>
          <w:bCs w:val="0"/>
          <w:color w:val="auto"/>
          <w:sz w:val="24"/>
          <w:szCs w:val="24"/>
          <w:highlight w:val="none"/>
          <w:lang w:eastAsia="zh-CN"/>
        </w:rPr>
        <w:t>时令花卉</w:t>
      </w:r>
      <w:r>
        <w:rPr>
          <w:rFonts w:hint="eastAsia" w:ascii="宋体" w:hAnsi="宋体" w:eastAsia="宋体" w:cs="宋体"/>
          <w:b w:val="0"/>
          <w:bCs w:val="0"/>
          <w:color w:val="auto"/>
          <w:sz w:val="24"/>
          <w:szCs w:val="24"/>
          <w:highlight w:val="none"/>
          <w:lang w:val="en-US" w:eastAsia="zh-CN"/>
        </w:rPr>
        <w:t>养护</w:t>
      </w:r>
      <w:r>
        <w:rPr>
          <w:rFonts w:hint="eastAsia" w:ascii="宋体" w:hAnsi="宋体" w:eastAsia="宋体" w:cs="宋体"/>
          <w:b w:val="0"/>
          <w:bCs w:val="0"/>
          <w:color w:val="auto"/>
          <w:sz w:val="24"/>
          <w:szCs w:val="24"/>
          <w:highlight w:val="none"/>
        </w:rPr>
        <w:t>方案</w:t>
      </w:r>
    </w:p>
    <w:p w14:paraId="4109183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供应商提供周密、专业的服务方案，确保该项工作从美好的愿景转化为卓越城市景观成果，是服务质量的“保证书”，是服务统筹协调的“路线图”。至少包含：</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color w:val="auto"/>
          <w:sz w:val="24"/>
          <w:szCs w:val="24"/>
          <w:highlight w:val="none"/>
        </w:rPr>
        <w:t>浇水与土壤管理</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布置要求；（3）</w:t>
      </w:r>
      <w:r>
        <w:rPr>
          <w:rFonts w:hint="eastAsia" w:ascii="宋体" w:hAnsi="宋体" w:eastAsia="宋体" w:cs="宋体"/>
          <w:color w:val="auto"/>
          <w:sz w:val="24"/>
          <w:szCs w:val="24"/>
          <w:highlight w:val="none"/>
        </w:rPr>
        <w:t>科学施肥</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清理保洁方案（含</w:t>
      </w:r>
      <w:r>
        <w:rPr>
          <w:rFonts w:hint="eastAsia" w:ascii="宋体" w:hAnsi="宋体" w:eastAsia="宋体" w:cs="宋体"/>
          <w:b w:val="0"/>
          <w:bCs w:val="0"/>
          <w:color w:val="auto"/>
          <w:sz w:val="24"/>
          <w:szCs w:val="24"/>
          <w:highlight w:val="none"/>
          <w:lang w:eastAsia="zh-CN"/>
        </w:rPr>
        <w:t>布置</w:t>
      </w:r>
      <w:r>
        <w:rPr>
          <w:rFonts w:hint="eastAsia" w:ascii="宋体" w:hAnsi="宋体" w:eastAsia="宋体" w:cs="宋体"/>
          <w:b w:val="0"/>
          <w:bCs w:val="0"/>
          <w:color w:val="auto"/>
          <w:sz w:val="24"/>
          <w:szCs w:val="24"/>
          <w:highlight w:val="none"/>
          <w:lang w:val="en-US" w:eastAsia="zh-CN"/>
        </w:rPr>
        <w:t>前后）</w:t>
      </w:r>
      <w:r>
        <w:rPr>
          <w:rFonts w:hint="eastAsia" w:ascii="宋体" w:hAnsi="宋体" w:cs="宋体"/>
          <w:b w:val="0"/>
          <w:bCs w:val="0"/>
          <w:color w:val="auto"/>
          <w:sz w:val="24"/>
          <w:szCs w:val="24"/>
          <w:highlight w:val="none"/>
          <w:lang w:val="en-US" w:eastAsia="zh-CN"/>
        </w:rPr>
        <w:t>（5）</w:t>
      </w:r>
      <w:r>
        <w:rPr>
          <w:rFonts w:hint="eastAsia" w:ascii="宋体" w:hAnsi="宋体" w:eastAsia="宋体" w:cs="宋体"/>
          <w:color w:val="auto"/>
          <w:sz w:val="24"/>
          <w:szCs w:val="24"/>
          <w:highlight w:val="none"/>
        </w:rPr>
        <w:t>病虫害预防与治理</w:t>
      </w:r>
      <w:r>
        <w:rPr>
          <w:rFonts w:hint="eastAsia" w:ascii="宋体" w:hAnsi="宋体" w:eastAsia="宋体" w:cs="宋体"/>
          <w:b w:val="0"/>
          <w:bCs w:val="0"/>
          <w:color w:val="auto"/>
          <w:sz w:val="24"/>
          <w:szCs w:val="24"/>
          <w:highlight w:val="none"/>
          <w:lang w:val="en-US" w:eastAsia="zh-CN"/>
        </w:rPr>
        <w:t>。</w:t>
      </w:r>
    </w:p>
    <w:p w14:paraId="12645AD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4.1.1</w:t>
      </w:r>
      <w:r>
        <w:rPr>
          <w:rFonts w:hint="eastAsia" w:ascii="宋体" w:hAnsi="宋体" w:eastAsia="宋体" w:cs="宋体"/>
          <w:color w:val="auto"/>
          <w:sz w:val="24"/>
          <w:szCs w:val="24"/>
          <w:highlight w:val="none"/>
        </w:rPr>
        <w:t>浇水与土壤管理</w:t>
      </w:r>
    </w:p>
    <w:p w14:paraId="26AA5EB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浇水原则：根据季节、天气和植物需水特性，遵循“见干见湿、浇则浇透”的原则。夏季高温时早晚浇水，避免中午高温时段；冬季减少浇水频率，防止冻害。</w:t>
      </w:r>
    </w:p>
    <w:p w14:paraId="5F12E51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土壤维护：定期松土，增强土壤透气性和透水性；防止板结，确保根系健康生长。</w:t>
      </w:r>
    </w:p>
    <w:p w14:paraId="6333F55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4.1.2布置要求</w:t>
      </w:r>
    </w:p>
    <w:p w14:paraId="3D9605E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本项目围绕花卉</w:t>
      </w:r>
      <w:r>
        <w:rPr>
          <w:rFonts w:hint="eastAsia" w:ascii="宋体" w:hAnsi="宋体" w:cs="宋体"/>
          <w:color w:val="auto"/>
          <w:sz w:val="24"/>
          <w:szCs w:val="24"/>
          <w:highlight w:val="none"/>
          <w:lang w:val="en-US" w:eastAsia="zh-CN"/>
        </w:rPr>
        <w:t>布置</w:t>
      </w:r>
      <w:r>
        <w:rPr>
          <w:rFonts w:hint="eastAsia" w:ascii="宋体" w:hAnsi="宋体" w:eastAsia="宋体" w:cs="宋体"/>
          <w:color w:val="auto"/>
          <w:sz w:val="24"/>
          <w:szCs w:val="24"/>
          <w:highlight w:val="none"/>
          <w:lang w:val="en-US" w:eastAsia="zh-CN"/>
        </w:rPr>
        <w:t>开展，合格花卉的及时采购至关重要，制订</w:t>
      </w:r>
      <w:r>
        <w:rPr>
          <w:rFonts w:hint="eastAsia" w:ascii="宋体" w:hAnsi="宋体" w:eastAsia="宋体" w:cs="宋体"/>
          <w:color w:val="auto"/>
          <w:sz w:val="24"/>
          <w:szCs w:val="24"/>
          <w:highlight w:val="none"/>
        </w:rPr>
        <w:t>供花计划方案</w:t>
      </w:r>
      <w:r>
        <w:rPr>
          <w:rFonts w:hint="eastAsia" w:ascii="宋体" w:hAnsi="宋体" w:eastAsia="宋体" w:cs="宋体"/>
          <w:color w:val="auto"/>
          <w:sz w:val="24"/>
          <w:szCs w:val="24"/>
          <w:highlight w:val="none"/>
          <w:lang w:val="en-US" w:eastAsia="zh-CN"/>
        </w:rPr>
        <w:t>要</w:t>
      </w:r>
      <w:r>
        <w:rPr>
          <w:rFonts w:hint="eastAsia" w:ascii="宋体" w:hAnsi="宋体" w:eastAsia="宋体" w:cs="宋体"/>
          <w:color w:val="auto"/>
          <w:sz w:val="24"/>
          <w:szCs w:val="24"/>
          <w:highlight w:val="none"/>
        </w:rPr>
        <w:t>结合季节变化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节假日供花要求</w:t>
      </w:r>
      <w:r>
        <w:rPr>
          <w:rFonts w:hint="eastAsia" w:ascii="宋体" w:hAnsi="宋体" w:eastAsia="宋体" w:cs="宋体"/>
          <w:color w:val="auto"/>
          <w:sz w:val="24"/>
          <w:szCs w:val="24"/>
          <w:highlight w:val="none"/>
        </w:rPr>
        <w:t>，计划周密，措施有效。如供花时间、花卉组织及运输详细说明等。</w:t>
      </w:r>
    </w:p>
    <w:p w14:paraId="3FCB0A1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要求，更换花卉每年更换不少于4次（具体更换次数详按招标清单中要求执行），根据招标清单规定的时间、数量、参考品种等要求</w:t>
      </w:r>
      <w:r>
        <w:rPr>
          <w:rFonts w:hint="eastAsia" w:ascii="宋体" w:hAnsi="宋体" w:cs="宋体"/>
          <w:color w:val="auto"/>
          <w:sz w:val="24"/>
          <w:szCs w:val="24"/>
          <w:highlight w:val="none"/>
          <w:lang w:val="en-US" w:eastAsia="zh-CN"/>
        </w:rPr>
        <w:t>布置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每次布置前将方案报送</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同意后实施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每次更换指定时令花卉的盛花期不少于</w:t>
      </w:r>
      <w:r>
        <w:rPr>
          <w:rFonts w:hint="eastAsia" w:ascii="宋体" w:hAnsi="宋体" w:cs="宋体"/>
          <w:color w:val="auto"/>
          <w:sz w:val="24"/>
          <w:szCs w:val="24"/>
          <w:highlight w:val="none"/>
          <w:lang w:val="en-US" w:eastAsia="zh-CN"/>
        </w:rPr>
        <w:t>2个月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要求花卉植株大小基本一致，日常不间断养护。所有花卉，都必须在</w:t>
      </w:r>
      <w:r>
        <w:rPr>
          <w:rFonts w:hint="eastAsia" w:ascii="宋体" w:hAnsi="宋体" w:cs="宋体"/>
          <w:color w:val="auto"/>
          <w:sz w:val="24"/>
          <w:szCs w:val="24"/>
          <w:highlight w:val="none"/>
          <w:lang w:val="en-US" w:eastAsia="zh-CN"/>
        </w:rPr>
        <w:t>布置</w:t>
      </w:r>
      <w:r>
        <w:rPr>
          <w:rFonts w:hint="eastAsia" w:ascii="宋体" w:hAnsi="宋体" w:eastAsia="宋体" w:cs="宋体"/>
          <w:color w:val="auto"/>
          <w:sz w:val="24"/>
          <w:szCs w:val="24"/>
          <w:highlight w:val="none"/>
        </w:rPr>
        <w:t>摆放时达到设计高度、蓬径、花期的需求，务必保证</w:t>
      </w:r>
      <w:r>
        <w:rPr>
          <w:rFonts w:hint="eastAsia" w:ascii="宋体" w:hAnsi="宋体" w:cs="宋体"/>
          <w:color w:val="auto"/>
          <w:sz w:val="24"/>
          <w:szCs w:val="24"/>
          <w:highlight w:val="none"/>
          <w:lang w:val="en-US" w:eastAsia="zh-CN"/>
        </w:rPr>
        <w:t>布置</w:t>
      </w:r>
      <w:r>
        <w:rPr>
          <w:rFonts w:hint="eastAsia" w:ascii="宋体" w:hAnsi="宋体" w:eastAsia="宋体" w:cs="宋体"/>
          <w:color w:val="auto"/>
          <w:sz w:val="24"/>
          <w:szCs w:val="24"/>
          <w:highlight w:val="none"/>
        </w:rPr>
        <w:t>后不露泥土，整体花型丰满，色彩鲜艳。</w:t>
      </w:r>
    </w:p>
    <w:p w14:paraId="5036761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供应商根据项目需求制定布置方案，至少包</w:t>
      </w:r>
      <w:r>
        <w:rPr>
          <w:rFonts w:hint="eastAsia" w:ascii="宋体" w:hAnsi="宋体" w:cs="宋体"/>
          <w:b w:val="0"/>
          <w:bCs w:val="0"/>
          <w:color w:val="auto"/>
          <w:sz w:val="24"/>
          <w:szCs w:val="24"/>
          <w:highlight w:val="none"/>
          <w:lang w:val="en-US" w:eastAsia="zh-CN"/>
        </w:rPr>
        <w:t>含</w:t>
      </w:r>
      <w:r>
        <w:rPr>
          <w:rFonts w:hint="eastAsia" w:ascii="宋体" w:hAnsi="宋体" w:eastAsia="宋体" w:cs="宋体"/>
          <w:b w:val="0"/>
          <w:bCs w:val="0"/>
          <w:color w:val="auto"/>
          <w:sz w:val="24"/>
          <w:szCs w:val="24"/>
          <w:highlight w:val="none"/>
          <w:lang w:val="en-US" w:eastAsia="zh-CN"/>
        </w:rPr>
        <w:t>：服务准备，服务步骤，技术要求。</w:t>
      </w:r>
    </w:p>
    <w:p w14:paraId="15550C8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地栽花卉要求处理好地形，清理多余土方，必要时进行土壤改良或换土，土壤高度应低于花坛边界，浇水时不得污染周围地面；栽植密度根据品种确定，要求饱满无缝隙，边缘栽植距离花坛边界不得大于6㎝；整体要求高度协调一致，四季有花，花开不断。摆放花卉</w:t>
      </w:r>
      <w:r>
        <w:rPr>
          <w:rFonts w:hint="eastAsia" w:ascii="宋体" w:hAnsi="宋体" w:cs="宋体"/>
          <w:color w:val="auto"/>
          <w:sz w:val="24"/>
          <w:szCs w:val="24"/>
          <w:highlight w:val="none"/>
          <w:lang w:val="en-US" w:eastAsia="zh-CN"/>
        </w:rPr>
        <w:t>服务</w:t>
      </w:r>
      <w:r>
        <w:rPr>
          <w:rFonts w:hint="eastAsia" w:ascii="宋体" w:hAnsi="宋体" w:eastAsia="宋体" w:cs="宋体"/>
          <w:b w:val="0"/>
          <w:bCs w:val="0"/>
          <w:color w:val="auto"/>
          <w:sz w:val="24"/>
          <w:szCs w:val="24"/>
          <w:highlight w:val="none"/>
          <w:lang w:val="en-US" w:eastAsia="zh-CN"/>
        </w:rPr>
        <w:t>日期由采购人通知，服务期不得超过2天，要求图案准确，边界清晰，颜色均匀，摆放遵循“里侧高，外口低”，整体协调一致，摆放时地面铺垫毛毡布，起到保水和防止泥水污染地面的作用。</w:t>
      </w:r>
    </w:p>
    <w:p w14:paraId="23B6A7D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时令花卉</w:t>
      </w:r>
      <w:r>
        <w:rPr>
          <w:rFonts w:hint="eastAsia" w:ascii="宋体" w:hAnsi="宋体" w:eastAsia="宋体" w:cs="宋体"/>
          <w:color w:val="auto"/>
          <w:sz w:val="24"/>
          <w:szCs w:val="24"/>
          <w:highlight w:val="none"/>
        </w:rPr>
        <w:t>布置前做好填(取)土、耕翻、清杂、施肥、整地形等前期作业。</w:t>
      </w:r>
      <w:r>
        <w:rPr>
          <w:rFonts w:hint="eastAsia" w:ascii="宋体" w:hAnsi="宋体" w:eastAsia="宋体" w:cs="宋体"/>
          <w:bCs/>
          <w:color w:val="auto"/>
          <w:sz w:val="24"/>
          <w:szCs w:val="24"/>
          <w:highlight w:val="none"/>
        </w:rPr>
        <w:t>除尽土中石块、草屑、残茎、落叶等杂物，并施足基肥。</w:t>
      </w:r>
      <w:r>
        <w:rPr>
          <w:rFonts w:hint="eastAsia" w:ascii="宋体" w:hAnsi="宋体" w:cs="宋体"/>
          <w:color w:val="auto"/>
          <w:sz w:val="24"/>
          <w:szCs w:val="24"/>
          <w:highlight w:val="none"/>
          <w:lang w:val="en-US" w:eastAsia="zh-CN"/>
        </w:rPr>
        <w:t>布置</w:t>
      </w:r>
      <w:r>
        <w:rPr>
          <w:rFonts w:hint="eastAsia" w:ascii="宋体" w:hAnsi="宋体" w:eastAsia="宋体" w:cs="宋体"/>
          <w:bCs/>
          <w:color w:val="auto"/>
          <w:sz w:val="24"/>
          <w:szCs w:val="24"/>
          <w:highlight w:val="none"/>
        </w:rPr>
        <w:t>后应加强水肥、除草、保洁等日常管理，应保证</w:t>
      </w:r>
      <w:r>
        <w:rPr>
          <w:rFonts w:hint="eastAsia" w:ascii="宋体" w:hAnsi="宋体" w:cs="宋体"/>
          <w:color w:val="auto"/>
          <w:sz w:val="24"/>
          <w:szCs w:val="24"/>
          <w:highlight w:val="none"/>
          <w:lang w:val="en-US" w:eastAsia="zh-CN"/>
        </w:rPr>
        <w:t>布置</w:t>
      </w:r>
      <w:r>
        <w:rPr>
          <w:rFonts w:hint="eastAsia" w:ascii="宋体" w:hAnsi="宋体" w:eastAsia="宋体" w:cs="宋体"/>
          <w:bCs/>
          <w:color w:val="auto"/>
          <w:sz w:val="24"/>
          <w:szCs w:val="24"/>
          <w:highlight w:val="none"/>
        </w:rPr>
        <w:t>范围内不出现黄土露天、枯死现象，及时清理杂草、杂物、垃圾等。一旦出现</w:t>
      </w:r>
      <w:r>
        <w:rPr>
          <w:rFonts w:hint="eastAsia" w:ascii="宋体" w:hAnsi="宋体" w:cs="宋体"/>
          <w:bCs/>
          <w:color w:val="auto"/>
          <w:sz w:val="24"/>
          <w:szCs w:val="24"/>
          <w:highlight w:val="none"/>
          <w:lang w:eastAsia="zh-CN"/>
        </w:rPr>
        <w:t>时令花卉</w:t>
      </w:r>
      <w:r>
        <w:rPr>
          <w:rFonts w:hint="eastAsia" w:ascii="宋体" w:hAnsi="宋体" w:eastAsia="宋体" w:cs="宋体"/>
          <w:bCs/>
          <w:color w:val="auto"/>
          <w:sz w:val="24"/>
          <w:szCs w:val="24"/>
          <w:highlight w:val="none"/>
        </w:rPr>
        <w:t>死亡、长势不良（局部枯死、叶片发黄、脚叶脱落、花株瘦高、花株萎蔫）、遭人为破坏等明显影响观赏效果的，而新一季花卉更换时间尚未到的，养护单位应2天内无偿更换、</w:t>
      </w:r>
      <w:r>
        <w:rPr>
          <w:rFonts w:hint="eastAsia" w:ascii="宋体" w:hAnsi="宋体" w:cs="宋体"/>
          <w:bCs/>
          <w:color w:val="auto"/>
          <w:sz w:val="24"/>
          <w:szCs w:val="24"/>
          <w:highlight w:val="none"/>
          <w:lang w:val="en-US" w:eastAsia="zh-CN"/>
        </w:rPr>
        <w:t>整改</w:t>
      </w:r>
      <w:r>
        <w:rPr>
          <w:rFonts w:hint="eastAsia" w:ascii="宋体" w:hAnsi="宋体" w:eastAsia="宋体" w:cs="宋体"/>
          <w:bCs/>
          <w:color w:val="auto"/>
          <w:sz w:val="24"/>
          <w:szCs w:val="24"/>
          <w:highlight w:val="none"/>
        </w:rPr>
        <w:t>到位。</w:t>
      </w:r>
      <w:r>
        <w:rPr>
          <w:rFonts w:hint="eastAsia" w:ascii="宋体" w:hAnsi="宋体" w:cs="宋体"/>
          <w:bCs/>
          <w:color w:val="auto"/>
          <w:sz w:val="24"/>
          <w:szCs w:val="24"/>
          <w:highlight w:val="none"/>
          <w:lang w:val="en-US" w:eastAsia="zh-CN"/>
        </w:rPr>
        <w:t>整改</w:t>
      </w:r>
      <w:r>
        <w:rPr>
          <w:rFonts w:hint="eastAsia" w:ascii="宋体" w:hAnsi="宋体" w:eastAsia="宋体" w:cs="宋体"/>
          <w:bCs/>
          <w:color w:val="auto"/>
          <w:sz w:val="24"/>
          <w:szCs w:val="24"/>
          <w:highlight w:val="none"/>
        </w:rPr>
        <w:t>的</w:t>
      </w:r>
      <w:r>
        <w:rPr>
          <w:rFonts w:hint="eastAsia" w:ascii="宋体" w:hAnsi="宋体" w:cs="宋体"/>
          <w:bCs/>
          <w:color w:val="auto"/>
          <w:sz w:val="24"/>
          <w:szCs w:val="24"/>
          <w:highlight w:val="none"/>
          <w:lang w:eastAsia="zh-CN"/>
        </w:rPr>
        <w:t>时令花卉</w:t>
      </w:r>
      <w:r>
        <w:rPr>
          <w:rFonts w:hint="eastAsia" w:ascii="宋体" w:hAnsi="宋体" w:eastAsia="宋体" w:cs="宋体"/>
          <w:bCs/>
          <w:color w:val="auto"/>
          <w:sz w:val="24"/>
          <w:szCs w:val="24"/>
          <w:highlight w:val="none"/>
        </w:rPr>
        <w:t>应和原品种、规格一致。</w:t>
      </w:r>
      <w:r>
        <w:rPr>
          <w:rFonts w:hint="eastAsia" w:ascii="宋体" w:hAnsi="宋体" w:eastAsia="宋体" w:cs="宋体"/>
          <w:color w:val="auto"/>
          <w:sz w:val="24"/>
          <w:szCs w:val="24"/>
          <w:highlight w:val="none"/>
        </w:rPr>
        <w:t>换花空置期应控制在2天内，如需对土壤翻晒或药物消毒杀菌，经确认可适当延长空置期，但最长不宜超过7天。每批次</w:t>
      </w:r>
      <w:r>
        <w:rPr>
          <w:rFonts w:hint="eastAsia" w:ascii="宋体" w:hAnsi="宋体" w:cs="宋体"/>
          <w:color w:val="auto"/>
          <w:sz w:val="24"/>
          <w:szCs w:val="24"/>
          <w:highlight w:val="none"/>
          <w:lang w:eastAsia="zh-CN"/>
        </w:rPr>
        <w:t>时令花卉</w:t>
      </w:r>
      <w:r>
        <w:rPr>
          <w:rFonts w:hint="eastAsia" w:ascii="宋体" w:hAnsi="宋体" w:eastAsia="宋体" w:cs="宋体"/>
          <w:color w:val="auto"/>
          <w:sz w:val="24"/>
          <w:szCs w:val="24"/>
          <w:highlight w:val="none"/>
        </w:rPr>
        <w:t>更换时通知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代表现场监管，并及时办理验收</w:t>
      </w:r>
      <w:r>
        <w:rPr>
          <w:rFonts w:hint="eastAsia" w:ascii="宋体" w:hAnsi="宋体" w:cs="宋体"/>
          <w:color w:val="auto"/>
          <w:sz w:val="24"/>
          <w:szCs w:val="24"/>
          <w:highlight w:val="none"/>
          <w:lang w:eastAsia="zh-CN"/>
        </w:rPr>
        <w:t>等相关</w:t>
      </w:r>
      <w:r>
        <w:rPr>
          <w:rFonts w:hint="eastAsia" w:ascii="宋体" w:hAnsi="宋体" w:eastAsia="宋体" w:cs="宋体"/>
          <w:color w:val="auto"/>
          <w:sz w:val="24"/>
          <w:szCs w:val="24"/>
          <w:highlight w:val="none"/>
        </w:rPr>
        <w:t>手续。</w:t>
      </w:r>
    </w:p>
    <w:p w14:paraId="7DA1B86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eastAsia="zh-CN"/>
        </w:rPr>
        <w:t>时令花卉</w:t>
      </w:r>
      <w:r>
        <w:rPr>
          <w:rFonts w:hint="eastAsia" w:ascii="宋体" w:hAnsi="宋体" w:eastAsia="宋体" w:cs="宋体"/>
          <w:color w:val="auto"/>
          <w:sz w:val="24"/>
          <w:szCs w:val="24"/>
          <w:highlight w:val="none"/>
        </w:rPr>
        <w:t>布置必须使用 F1 代优良品种，株型丰满、分枝匀称、生长健壮、无病虫害、初花率不得小于 50%。布置图案优美、花色鲜艳、品种搭配合理、覆盖率 100%。布置后落实专人巡查养护，全日动态保洁，及时除草。全年景观效果良好，并确保五一、国庆、春节等节日前</w:t>
      </w:r>
      <w:r>
        <w:rPr>
          <w:rFonts w:hint="eastAsia" w:ascii="宋体" w:hAnsi="宋体" w:cs="宋体"/>
          <w:color w:val="auto"/>
          <w:sz w:val="24"/>
          <w:szCs w:val="24"/>
          <w:highlight w:val="none"/>
          <w:lang w:eastAsia="zh-CN"/>
        </w:rPr>
        <w:t>时令花卉</w:t>
      </w:r>
      <w:r>
        <w:rPr>
          <w:rFonts w:hint="eastAsia" w:ascii="宋体" w:hAnsi="宋体" w:eastAsia="宋体" w:cs="宋体"/>
          <w:color w:val="auto"/>
          <w:sz w:val="24"/>
          <w:szCs w:val="24"/>
          <w:highlight w:val="none"/>
        </w:rPr>
        <w:t>布置</w:t>
      </w:r>
      <w:r>
        <w:rPr>
          <w:rFonts w:hint="eastAsia" w:ascii="宋体" w:hAnsi="宋体" w:cs="宋体"/>
          <w:color w:val="auto"/>
          <w:sz w:val="24"/>
          <w:szCs w:val="24"/>
          <w:highlight w:val="none"/>
          <w:lang w:val="en-US" w:eastAsia="zh-CN"/>
        </w:rPr>
        <w:t>出</w:t>
      </w:r>
      <w:r>
        <w:rPr>
          <w:rFonts w:hint="eastAsia" w:ascii="宋体" w:hAnsi="宋体" w:eastAsia="宋体" w:cs="宋体"/>
          <w:color w:val="auto"/>
          <w:sz w:val="24"/>
          <w:szCs w:val="24"/>
          <w:highlight w:val="none"/>
        </w:rPr>
        <w:t>花率不低于 60%，确保节日期间处于最佳观赏期。</w:t>
      </w:r>
    </w:p>
    <w:p w14:paraId="4DD094A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4.1.3</w:t>
      </w:r>
      <w:r>
        <w:rPr>
          <w:rFonts w:hint="eastAsia" w:ascii="宋体" w:hAnsi="宋体" w:eastAsia="宋体" w:cs="宋体"/>
          <w:color w:val="auto"/>
          <w:sz w:val="24"/>
          <w:szCs w:val="24"/>
          <w:highlight w:val="none"/>
        </w:rPr>
        <w:t>科学施肥</w:t>
      </w:r>
    </w:p>
    <w:p w14:paraId="7ED22EA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定期施肥：生长期（春、秋季）每2-3周施一次复合肥或液体肥，花期前增施磷钾肥以促进开花；避免过量施肥造成烧根。及时修剪：定期剪除残花、枯叶、病枝和过密枝条，促进新芽萌发，保持植株通风透光，延长花期，提升整体观赏效果</w:t>
      </w:r>
    </w:p>
    <w:p w14:paraId="70CACD6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为保证更换花卉的生长及开花，更换后每隔15日，必须追肥一次，肥料以液体磷钾为主。多次开花的品种在花后及时打顶修剪，保证花开不断。</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在养护期内应达到Ⅰ级养护标准。</w:t>
      </w:r>
    </w:p>
    <w:p w14:paraId="26746A8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4.1.4</w:t>
      </w:r>
      <w:r>
        <w:rPr>
          <w:rFonts w:hint="eastAsia" w:ascii="宋体" w:hAnsi="宋体" w:eastAsia="宋体" w:cs="宋体"/>
          <w:b w:val="0"/>
          <w:bCs w:val="0"/>
          <w:color w:val="auto"/>
          <w:sz w:val="24"/>
          <w:szCs w:val="24"/>
          <w:highlight w:val="none"/>
          <w:lang w:eastAsia="zh-CN"/>
        </w:rPr>
        <w:t>布置前清理和布置后保洁</w:t>
      </w:r>
    </w:p>
    <w:p w14:paraId="2D04556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Cs/>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供应商根据项目需求制定布置方案，至少包</w:t>
      </w:r>
      <w:r>
        <w:rPr>
          <w:rFonts w:hint="eastAsia" w:ascii="宋体" w:hAnsi="宋体" w:cs="宋体"/>
          <w:b w:val="0"/>
          <w:bCs w:val="0"/>
          <w:color w:val="auto"/>
          <w:sz w:val="24"/>
          <w:szCs w:val="24"/>
          <w:highlight w:val="none"/>
          <w:lang w:val="en-US" w:eastAsia="zh-CN"/>
        </w:rPr>
        <w:t>含</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前期</w:t>
      </w:r>
      <w:r>
        <w:rPr>
          <w:rFonts w:hint="eastAsia" w:ascii="宋体" w:hAnsi="宋体" w:eastAsia="宋体" w:cs="宋体"/>
          <w:b w:val="0"/>
          <w:bCs w:val="0"/>
          <w:color w:val="auto"/>
          <w:sz w:val="24"/>
          <w:szCs w:val="24"/>
          <w:highlight w:val="none"/>
          <w:lang w:val="en-US" w:eastAsia="zh-CN"/>
        </w:rPr>
        <w:t>阶段及养护阶段。</w:t>
      </w:r>
    </w:p>
    <w:p w14:paraId="1AC866C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Cs/>
          <w:color w:val="auto"/>
          <w:sz w:val="24"/>
          <w:szCs w:val="24"/>
          <w:highlight w:val="none"/>
        </w:rPr>
        <w:t>布置作业期间做好清扫、冲洗工作，做到人走场清；养护浇水时，尽量避免将泥水冲至周围路面，如对路面造成污染应及时冲洗干净；花卉撤场时，及时将残花、花盆等</w:t>
      </w:r>
      <w:r>
        <w:rPr>
          <w:rFonts w:hint="eastAsia" w:ascii="宋体" w:hAnsi="宋体" w:cs="宋体"/>
          <w:bCs/>
          <w:color w:val="auto"/>
          <w:sz w:val="24"/>
          <w:szCs w:val="24"/>
          <w:highlight w:val="none"/>
          <w:lang w:val="en-US" w:eastAsia="zh-CN"/>
        </w:rPr>
        <w:t>运出</w:t>
      </w:r>
      <w:r>
        <w:rPr>
          <w:rFonts w:hint="eastAsia" w:ascii="宋体" w:hAnsi="宋体" w:eastAsia="宋体" w:cs="宋体"/>
          <w:bCs/>
          <w:color w:val="auto"/>
          <w:sz w:val="24"/>
          <w:szCs w:val="24"/>
          <w:highlight w:val="none"/>
        </w:rPr>
        <w:t>，不得堆放；花卉撤场后及时冲洗场地，须配备加压冲洗设备，场地不得残留泥迹，确保周围环境干净整洁。</w:t>
      </w:r>
    </w:p>
    <w:p w14:paraId="0C08A68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4.1.5</w:t>
      </w:r>
      <w:r>
        <w:rPr>
          <w:rFonts w:hint="eastAsia" w:ascii="宋体" w:hAnsi="宋体" w:eastAsia="宋体" w:cs="宋体"/>
          <w:color w:val="auto"/>
          <w:sz w:val="24"/>
          <w:szCs w:val="24"/>
          <w:highlight w:val="none"/>
        </w:rPr>
        <w:t>病虫害预防与治理</w:t>
      </w:r>
    </w:p>
    <w:p w14:paraId="4E64026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做好病虫害防治、巡查看护等日常管理，一旦出现死亡、长势不良、</w:t>
      </w:r>
      <w:r>
        <w:rPr>
          <w:rFonts w:hint="eastAsia" w:ascii="宋体" w:hAnsi="宋体" w:cs="宋体"/>
          <w:color w:val="auto"/>
          <w:sz w:val="24"/>
          <w:szCs w:val="24"/>
          <w:highlight w:val="none"/>
          <w:lang w:val="en-US" w:eastAsia="zh-CN" w:bidi="ar-SA"/>
        </w:rPr>
        <w:t>病虫害</w:t>
      </w:r>
      <w:r>
        <w:rPr>
          <w:rFonts w:hint="eastAsia" w:ascii="宋体" w:hAnsi="宋体" w:eastAsia="宋体" w:cs="宋体"/>
          <w:color w:val="auto"/>
          <w:sz w:val="24"/>
          <w:szCs w:val="24"/>
          <w:highlight w:val="none"/>
          <w:lang w:val="en-US" w:eastAsia="zh-CN" w:bidi="ar-SA"/>
        </w:rPr>
        <w:t>破坏等影响观赏效果的，应及时更换，更换的植物花卉应和原品种质量、规格一致。</w:t>
      </w:r>
    </w:p>
    <w:p w14:paraId="2C2E9268">
      <w:pPr>
        <w:pStyle w:val="45"/>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周密的</w:t>
      </w:r>
      <w:r>
        <w:rPr>
          <w:rFonts w:hint="eastAsia" w:ascii="宋体" w:hAnsi="宋体" w:eastAsia="宋体" w:cs="宋体"/>
          <w:color w:val="auto"/>
          <w:sz w:val="24"/>
          <w:szCs w:val="24"/>
          <w:highlight w:val="none"/>
          <w:lang w:val="en-US" w:eastAsia="zh-CN"/>
        </w:rPr>
        <w:t>病虫害</w:t>
      </w:r>
      <w:r>
        <w:rPr>
          <w:rFonts w:hint="eastAsia" w:ascii="宋体" w:hAnsi="宋体" w:eastAsia="宋体" w:cs="宋体"/>
          <w:color w:val="auto"/>
          <w:sz w:val="24"/>
          <w:szCs w:val="24"/>
          <w:highlight w:val="none"/>
        </w:rPr>
        <w:t>防治方案，就是投资于植物长期的健康活力、景观的持久美丽以及养护工作本身的高效与可持续。</w:t>
      </w:r>
      <w:r>
        <w:rPr>
          <w:rFonts w:hint="eastAsia" w:ascii="宋体" w:hAnsi="宋体" w:eastAsia="宋体" w:cs="宋体"/>
          <w:color w:val="auto"/>
          <w:sz w:val="24"/>
          <w:szCs w:val="24"/>
          <w:highlight w:val="none"/>
          <w:lang w:val="en-US" w:eastAsia="zh-CN"/>
        </w:rPr>
        <w:t>至少包含：</w:t>
      </w:r>
      <w:r>
        <w:rPr>
          <w:rFonts w:hint="eastAsia" w:ascii="宋体" w:hAnsi="宋体" w:eastAsia="宋体" w:cs="宋体"/>
          <w:color w:val="auto"/>
          <w:sz w:val="24"/>
          <w:szCs w:val="24"/>
          <w:highlight w:val="none"/>
        </w:rPr>
        <w:t>预防为主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监测与识别</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综合防治</w:t>
      </w:r>
      <w:r>
        <w:rPr>
          <w:rFonts w:hint="eastAsia" w:ascii="宋体" w:hAnsi="宋体" w:eastAsia="宋体" w:cs="宋体"/>
          <w:color w:val="auto"/>
          <w:sz w:val="24"/>
          <w:szCs w:val="24"/>
          <w:highlight w:val="none"/>
          <w:lang w:eastAsia="zh-CN"/>
        </w:rPr>
        <w:t>；突发病虫害等情况的应急措施。</w:t>
      </w:r>
    </w:p>
    <w:p w14:paraId="49F7EC2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预防为主：保持花箱及空地清洁，及时清除杂草和落叶，减少病菌和虫源滋生环境。 绿色防控：发现病虫害时优先采用生物或物理方法（如粘虫板、天敌昆虫），必要时使用低毒环保药剂，轮换用药，避免产生抗药性，并注意施药安全。</w:t>
      </w:r>
    </w:p>
    <w:p w14:paraId="440B3EAA">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养护档案管理</w:t>
      </w:r>
    </w:p>
    <w:p w14:paraId="64A4BDBC">
      <w:pPr>
        <w:pStyle w:val="45"/>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在项目实施过程中，中标供应商应随时接受采购人的行业指导、检查监督。对工作中存在的问题应及时</w:t>
      </w:r>
      <w:r>
        <w:rPr>
          <w:rFonts w:hint="eastAsia" w:ascii="宋体" w:hAnsi="宋体" w:eastAsia="宋体" w:cs="宋体"/>
          <w:bCs/>
          <w:color w:val="auto"/>
          <w:sz w:val="24"/>
          <w:szCs w:val="24"/>
          <w:highlight w:val="none"/>
          <w:lang w:val="en-US" w:eastAsia="zh-CN"/>
        </w:rPr>
        <w:t>记录，采取</w:t>
      </w:r>
      <w:r>
        <w:rPr>
          <w:rFonts w:hint="eastAsia" w:ascii="宋体" w:hAnsi="宋体" w:eastAsia="宋体" w:cs="宋体"/>
          <w:bCs/>
          <w:color w:val="auto"/>
          <w:sz w:val="24"/>
          <w:szCs w:val="24"/>
          <w:highlight w:val="none"/>
        </w:rPr>
        <w:t>补救、整改</w:t>
      </w:r>
      <w:r>
        <w:rPr>
          <w:rFonts w:hint="eastAsia" w:ascii="宋体" w:hAnsi="宋体" w:eastAsia="宋体" w:cs="宋体"/>
          <w:bCs/>
          <w:color w:val="auto"/>
          <w:sz w:val="24"/>
          <w:szCs w:val="24"/>
          <w:highlight w:val="none"/>
          <w:lang w:val="en-US" w:eastAsia="zh-CN"/>
        </w:rPr>
        <w:t>措施，并将整改情况汇报采购人</w:t>
      </w:r>
      <w:r>
        <w:rPr>
          <w:rFonts w:hint="eastAsia" w:ascii="宋体" w:hAnsi="宋体" w:eastAsia="宋体" w:cs="宋体"/>
          <w:bCs/>
          <w:color w:val="auto"/>
          <w:sz w:val="24"/>
          <w:szCs w:val="24"/>
          <w:highlight w:val="none"/>
        </w:rPr>
        <w:t>。</w:t>
      </w:r>
    </w:p>
    <w:p w14:paraId="13B7D376">
      <w:pPr>
        <w:pStyle w:val="45"/>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台账要求：做好</w:t>
      </w:r>
      <w:r>
        <w:rPr>
          <w:rFonts w:hint="eastAsia" w:ascii="宋体" w:hAnsi="宋体" w:eastAsia="宋体" w:cs="宋体"/>
          <w:bCs/>
          <w:color w:val="auto"/>
          <w:sz w:val="24"/>
          <w:szCs w:val="24"/>
          <w:highlight w:val="none"/>
          <w:lang w:eastAsia="zh-CN"/>
        </w:rPr>
        <w:t>时令花卉</w:t>
      </w:r>
      <w:r>
        <w:rPr>
          <w:rFonts w:hint="eastAsia" w:ascii="宋体" w:hAnsi="宋体" w:eastAsia="宋体" w:cs="宋体"/>
          <w:bCs/>
          <w:color w:val="auto"/>
          <w:sz w:val="24"/>
          <w:szCs w:val="24"/>
          <w:highlight w:val="none"/>
        </w:rPr>
        <w:t>培育、现场布置、养护管理、巡查记录等台账，每次布置结束后应及时配合</w:t>
      </w:r>
      <w:r>
        <w:rPr>
          <w:rFonts w:hint="eastAsia" w:ascii="宋体" w:hAnsi="宋体" w:eastAsia="宋体" w:cs="宋体"/>
          <w:bCs/>
          <w:color w:val="auto"/>
          <w:sz w:val="24"/>
          <w:szCs w:val="24"/>
          <w:highlight w:val="none"/>
          <w:lang w:val="en-US"/>
        </w:rPr>
        <w:t>采购人</w:t>
      </w:r>
      <w:r>
        <w:rPr>
          <w:rFonts w:hint="eastAsia" w:ascii="宋体" w:hAnsi="宋体" w:eastAsia="宋体" w:cs="宋体"/>
          <w:bCs/>
          <w:color w:val="auto"/>
          <w:sz w:val="24"/>
          <w:szCs w:val="24"/>
          <w:highlight w:val="none"/>
        </w:rPr>
        <w:t>做好现场验收工作，填写验收表。</w:t>
      </w:r>
    </w:p>
    <w:p w14:paraId="56A67B9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4.2</w:t>
      </w:r>
      <w:r>
        <w:rPr>
          <w:rFonts w:hint="eastAsia" w:ascii="宋体" w:hAnsi="宋体" w:cs="宋体"/>
          <w:b w:val="0"/>
          <w:bCs w:val="0"/>
          <w:color w:val="auto"/>
          <w:sz w:val="24"/>
          <w:szCs w:val="24"/>
          <w:highlight w:val="none"/>
          <w:lang w:val="en-US" w:eastAsia="zh-CN"/>
        </w:rPr>
        <w:t>服务</w:t>
      </w:r>
      <w:r>
        <w:rPr>
          <w:rFonts w:hint="eastAsia" w:ascii="宋体" w:hAnsi="宋体" w:eastAsia="宋体" w:cs="宋体"/>
          <w:b w:val="0"/>
          <w:bCs w:val="0"/>
          <w:color w:val="auto"/>
          <w:sz w:val="24"/>
          <w:szCs w:val="24"/>
          <w:highlight w:val="none"/>
        </w:rPr>
        <w:t>质量</w:t>
      </w:r>
      <w:r>
        <w:rPr>
          <w:rFonts w:hint="eastAsia" w:ascii="宋体" w:hAnsi="宋体" w:eastAsia="宋体" w:cs="宋体"/>
          <w:b w:val="0"/>
          <w:bCs w:val="0"/>
          <w:color w:val="auto"/>
          <w:sz w:val="24"/>
          <w:szCs w:val="24"/>
          <w:highlight w:val="none"/>
          <w:lang w:val="en-US" w:eastAsia="zh-CN"/>
        </w:rPr>
        <w:t>控制方案</w:t>
      </w:r>
    </w:p>
    <w:p w14:paraId="17F126B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质量控制方案是贯穿项目全过程的生命线与行动指南，通过前瞻性的预控措施、规范化的过程监管以及量化的验收标准，系统性地确保</w:t>
      </w:r>
      <w:r>
        <w:rPr>
          <w:rFonts w:hint="eastAsia" w:ascii="宋体" w:hAnsi="宋体" w:cs="宋体"/>
          <w:b w:val="0"/>
          <w:bCs w:val="0"/>
          <w:color w:val="auto"/>
          <w:sz w:val="24"/>
          <w:szCs w:val="24"/>
          <w:highlight w:val="none"/>
          <w:lang w:val="en-US" w:eastAsia="zh-CN"/>
        </w:rPr>
        <w:t>服务</w:t>
      </w:r>
      <w:r>
        <w:rPr>
          <w:rFonts w:hint="eastAsia" w:ascii="宋体" w:hAnsi="宋体" w:eastAsia="宋体" w:cs="宋体"/>
          <w:b w:val="0"/>
          <w:bCs w:val="0"/>
          <w:color w:val="auto"/>
          <w:sz w:val="24"/>
          <w:szCs w:val="24"/>
          <w:highlight w:val="none"/>
          <w:lang w:val="en-US" w:eastAsia="zh-CN"/>
        </w:rPr>
        <w:t>的每个环节都精准落地，从而从根本上保障植物的高成活率与景观的最佳呈现效果。至少包</w:t>
      </w:r>
      <w:r>
        <w:rPr>
          <w:rFonts w:hint="eastAsia" w:ascii="宋体" w:hAnsi="宋体" w:cs="宋体"/>
          <w:b w:val="0"/>
          <w:bCs w:val="0"/>
          <w:color w:val="auto"/>
          <w:sz w:val="24"/>
          <w:szCs w:val="24"/>
          <w:highlight w:val="none"/>
          <w:lang w:val="en-US" w:eastAsia="zh-CN"/>
        </w:rPr>
        <w:t>含</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1）项目组织架框与职责分工；</w:t>
      </w:r>
      <w:r>
        <w:rPr>
          <w:rFonts w:hint="eastAsia" w:ascii="宋体" w:hAnsi="宋体" w:cs="宋体"/>
          <w:b w:val="0"/>
          <w:bCs w:val="0"/>
          <w:color w:val="auto"/>
          <w:sz w:val="24"/>
          <w:szCs w:val="24"/>
          <w:highlight w:val="none"/>
          <w:lang w:val="en-US" w:eastAsia="zh-CN"/>
        </w:rPr>
        <w:t>（2）布置</w:t>
      </w:r>
      <w:r>
        <w:rPr>
          <w:rFonts w:hint="eastAsia" w:ascii="宋体" w:hAnsi="宋体" w:eastAsia="宋体" w:cs="宋体"/>
          <w:b w:val="0"/>
          <w:bCs w:val="0"/>
          <w:color w:val="auto"/>
          <w:sz w:val="24"/>
          <w:szCs w:val="24"/>
          <w:highlight w:val="none"/>
          <w:lang w:val="en-US" w:eastAsia="zh-CN"/>
        </w:rPr>
        <w:t>质量控制；（</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）养护质量维持；</w:t>
      </w:r>
      <w:r>
        <w:rPr>
          <w:rFonts w:hint="eastAsia" w:ascii="宋体" w:hAnsi="宋体" w:cs="宋体"/>
          <w:b w:val="0"/>
          <w:bCs w:val="0"/>
          <w:color w:val="auto"/>
          <w:sz w:val="24"/>
          <w:szCs w:val="24"/>
          <w:highlight w:val="none"/>
          <w:lang w:val="en-US" w:eastAsia="zh-CN"/>
        </w:rPr>
        <w:t>（4）养护</w:t>
      </w:r>
      <w:r>
        <w:rPr>
          <w:rFonts w:ascii="宋体" w:hAnsi="宋体" w:eastAsia="宋体" w:cs="宋体"/>
          <w:color w:val="auto"/>
          <w:sz w:val="24"/>
          <w:szCs w:val="24"/>
          <w:highlight w:val="none"/>
        </w:rPr>
        <w:t>巡查与记录</w:t>
      </w: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cs="宋体"/>
          <w:b w:val="0"/>
          <w:bCs w:val="0"/>
          <w:color w:val="auto"/>
          <w:sz w:val="24"/>
          <w:szCs w:val="24"/>
          <w:highlight w:val="none"/>
          <w:lang w:val="en-US" w:eastAsia="zh-CN"/>
        </w:rPr>
        <w:t>服务</w:t>
      </w:r>
      <w:r>
        <w:rPr>
          <w:rFonts w:hint="eastAsia" w:ascii="宋体" w:hAnsi="宋体" w:eastAsia="宋体" w:cs="宋体"/>
          <w:b w:val="0"/>
          <w:bCs w:val="0"/>
          <w:color w:val="auto"/>
          <w:sz w:val="24"/>
          <w:szCs w:val="24"/>
          <w:highlight w:val="none"/>
          <w:lang w:val="en-US" w:eastAsia="zh-CN"/>
        </w:rPr>
        <w:t>质量目标承诺与保障。</w:t>
      </w:r>
    </w:p>
    <w:p w14:paraId="77B37C8A">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质量要求：</w:t>
      </w:r>
      <w:r>
        <w:rPr>
          <w:rFonts w:hint="eastAsia" w:ascii="宋体" w:hAnsi="宋体" w:eastAsia="宋体" w:cs="宋体"/>
          <w:color w:val="auto"/>
          <w:sz w:val="24"/>
          <w:szCs w:val="24"/>
          <w:highlight w:val="none"/>
          <w:lang w:val="en-US" w:eastAsia="zh-CN"/>
        </w:rPr>
        <w:t>国家</w:t>
      </w:r>
      <w:r>
        <w:rPr>
          <w:rFonts w:hint="eastAsia" w:ascii="宋体" w:hAnsi="宋体" w:eastAsia="宋体" w:cs="宋体"/>
          <w:color w:val="auto"/>
          <w:sz w:val="24"/>
          <w:szCs w:val="24"/>
          <w:highlight w:val="none"/>
        </w:rPr>
        <w:t>合格</w:t>
      </w:r>
      <w:r>
        <w:rPr>
          <w:rFonts w:hint="eastAsia" w:ascii="宋体" w:hAnsi="宋体" w:eastAsia="宋体" w:cs="宋体"/>
          <w:color w:val="auto"/>
          <w:sz w:val="24"/>
          <w:szCs w:val="24"/>
          <w:highlight w:val="none"/>
          <w:lang w:val="en-US" w:eastAsia="zh-CN"/>
        </w:rPr>
        <w:t>标准</w:t>
      </w:r>
      <w:r>
        <w:rPr>
          <w:rFonts w:hint="eastAsia" w:ascii="宋体" w:hAnsi="宋体" w:eastAsia="宋体" w:cs="宋体"/>
          <w:color w:val="auto"/>
          <w:sz w:val="24"/>
          <w:szCs w:val="24"/>
          <w:highlight w:val="none"/>
        </w:rPr>
        <w:t>（花草长势良好、美观、无杂草、无病虫害、花卉植株大小基本一致）。</w:t>
      </w:r>
    </w:p>
    <w:p w14:paraId="7BFA7B08">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4.2.1</w:t>
      </w:r>
      <w:r>
        <w:rPr>
          <w:rFonts w:hint="eastAsia" w:ascii="宋体" w:hAnsi="宋体" w:eastAsia="宋体" w:cs="宋体"/>
          <w:b w:val="0"/>
          <w:bCs w:val="0"/>
          <w:color w:val="auto"/>
          <w:sz w:val="24"/>
          <w:szCs w:val="24"/>
          <w:highlight w:val="none"/>
          <w:lang w:val="en-US" w:eastAsia="zh-CN"/>
        </w:rPr>
        <w:t>项目组织架框与职责分工</w:t>
      </w:r>
    </w:p>
    <w:p w14:paraId="53D7ED3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绿化养护项目组织架构采用多层级管理模式，主要包括管理层、执行层和监督层三个核心层级。</w:t>
      </w:r>
    </w:p>
    <w:p w14:paraId="0647AF8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组织架构框架</w:t>
      </w:r>
    </w:p>
    <w:p w14:paraId="54E8FD2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管理层：包括项目经理、各部门经理等，承担将决策转化为具体行动的任务。主要职责包括养护计划制定、资源配置、各部门协调沟通等。</w:t>
      </w:r>
    </w:p>
    <w:p w14:paraId="66BB74A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执行层：由现场作业团队和养护班组组成，负责具体实施绿化养护工作。包括日常养护操作、设备维护等。</w:t>
      </w:r>
    </w:p>
    <w:p w14:paraId="4DF3D26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监督层：负责对养护工作的监督与评估，确保工作按标准执行，发现问题及时整改。</w:t>
      </w:r>
    </w:p>
    <w:p w14:paraId="2F34C18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职责分工</w:t>
      </w:r>
    </w:p>
    <w:p w14:paraId="4426A30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主要部门职责</w:t>
      </w:r>
    </w:p>
    <w:p w14:paraId="423CDF6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技术部门：负责提供专业技术指导、制定养护技术规范、组织技术培训和新技术推广应用。</w:t>
      </w:r>
    </w:p>
    <w:p w14:paraId="0431D2C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财务部门：负责项目资金管理、预算编制、成本控制和财务报表等，确保资金合理使用。</w:t>
      </w:r>
    </w:p>
    <w:p w14:paraId="6AA172A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采购部门：负责养护物资采购，包括植物、肥料、设备等，进行市场调研和供应商选择。</w:t>
      </w:r>
    </w:p>
    <w:p w14:paraId="7F127BC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市场部门：负责市场调研、客户开发、产品推广和销售工作，提升公司知名度。</w:t>
      </w:r>
    </w:p>
    <w:p w14:paraId="0AB0C92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现场岗位职责</w:t>
      </w:r>
    </w:p>
    <w:p w14:paraId="6AFE357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项目经理：负责制定项目总体计划、协调各部门沟通、监督项目预算使用、解决实施过程中的问题。</w:t>
      </w:r>
    </w:p>
    <w:p w14:paraId="6F9BAB8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养护经理：负责制定绿化养护计划、组织日常养护工作、监测植物生长情况、制定病虫害防治方案。</w:t>
      </w:r>
    </w:p>
    <w:p w14:paraId="1F1F7C3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技术员：负责现场技术指导、病虫害监测与记录、养护效果评估。</w:t>
      </w:r>
    </w:p>
    <w:p w14:paraId="6D8D972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养护工：按照养护标准完成日常操作，包括修剪、浇水、施肥、病虫害防治等，并做好养护日志。</w:t>
      </w:r>
    </w:p>
    <w:p w14:paraId="5A19622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班组长：统筹班组工作，分配任务，反馈现场问题。</w:t>
      </w:r>
    </w:p>
    <w:p w14:paraId="7817307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这种组织架构和职责分工确保了绿化养护项目能够高效有序地进行，从战略规划到具体实施都有明确的责任划分，通过建立"计划-实施-检查-改进"的闭环管理流程，实现科学养护、精细管理。</w:t>
      </w:r>
    </w:p>
    <w:p w14:paraId="0182DE72">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4.2.</w:t>
      </w:r>
      <w:r>
        <w:rPr>
          <w:rFonts w:hint="eastAsia" w:ascii="宋体" w:hAnsi="宋体" w:cs="宋体"/>
          <w:b w:val="0"/>
          <w:bCs w:val="0"/>
          <w:color w:val="auto"/>
          <w:sz w:val="24"/>
          <w:szCs w:val="24"/>
          <w:highlight w:val="none"/>
          <w:lang w:val="en-US" w:eastAsia="zh-CN"/>
        </w:rPr>
        <w:t>2布置</w:t>
      </w:r>
      <w:r>
        <w:rPr>
          <w:rFonts w:hint="eastAsia" w:ascii="宋体" w:hAnsi="宋体" w:eastAsia="宋体" w:cs="宋体"/>
          <w:b w:val="0"/>
          <w:bCs w:val="0"/>
          <w:color w:val="auto"/>
          <w:sz w:val="24"/>
          <w:szCs w:val="24"/>
          <w:highlight w:val="none"/>
          <w:lang w:val="en-US" w:eastAsia="zh-CN"/>
        </w:rPr>
        <w:t>质量控制</w:t>
      </w:r>
    </w:p>
    <w:p w14:paraId="1517B629">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布置</w:t>
      </w:r>
      <w:r>
        <w:rPr>
          <w:rFonts w:hint="eastAsia" w:ascii="宋体" w:hAnsi="宋体" w:eastAsia="宋体" w:cs="宋体"/>
          <w:b w:val="0"/>
          <w:bCs w:val="0"/>
          <w:color w:val="auto"/>
          <w:sz w:val="24"/>
          <w:szCs w:val="24"/>
          <w:highlight w:val="none"/>
          <w:lang w:val="en-US" w:eastAsia="zh-CN"/>
        </w:rPr>
        <w:t>质量控制，是决定项目成败的生命线。方案需围绕实施前质量预控措施、实施过程中</w:t>
      </w:r>
      <w:r>
        <w:rPr>
          <w:rFonts w:hint="eastAsia" w:ascii="宋体" w:hAnsi="宋体" w:eastAsia="宋体" w:cs="宋体"/>
          <w:b w:val="0"/>
          <w:bCs w:val="0"/>
          <w:color w:val="auto"/>
          <w:sz w:val="24"/>
          <w:szCs w:val="24"/>
          <w:highlight w:val="none"/>
        </w:rPr>
        <w:t>质量检查</w:t>
      </w:r>
      <w:r>
        <w:rPr>
          <w:rFonts w:hint="eastAsia" w:ascii="宋体" w:hAnsi="宋体" w:eastAsia="宋体" w:cs="宋体"/>
          <w:b w:val="0"/>
          <w:bCs w:val="0"/>
          <w:color w:val="auto"/>
          <w:sz w:val="24"/>
          <w:szCs w:val="24"/>
          <w:highlight w:val="none"/>
          <w:lang w:val="en-US" w:eastAsia="zh-CN"/>
        </w:rPr>
        <w:t>机制及事后的质量验收及评估制度展开。</w:t>
      </w:r>
    </w:p>
    <w:p w14:paraId="11FBEA25">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4.2.</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养护质量维持</w:t>
      </w:r>
    </w:p>
    <w:p w14:paraId="35121C1D">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为确保本项目景观效果的持续性与优良性，供应商须在投标文件中提交详尽的《养护期质量维持方案》。该方案应具备科学性、针对性及可操作性，包括确保景观效果持续达标的养护作业体系以及健全的组织保障与应急响应机制。</w:t>
      </w:r>
    </w:p>
    <w:p w14:paraId="393B83E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4.2.4养护</w:t>
      </w:r>
      <w:r>
        <w:rPr>
          <w:rFonts w:ascii="宋体" w:hAnsi="宋体" w:eastAsia="宋体" w:cs="宋体"/>
          <w:color w:val="auto"/>
          <w:sz w:val="24"/>
          <w:szCs w:val="24"/>
          <w:highlight w:val="none"/>
        </w:rPr>
        <w:t>巡查与记录</w:t>
      </w:r>
    </w:p>
    <w:p w14:paraId="6376B5A5">
      <w:pPr>
        <w:keepNext w:val="0"/>
        <w:keepLines w:val="0"/>
        <w:pageBreakBefore w:val="0"/>
        <w:widowControl w:val="0"/>
        <w:kinsoku/>
        <w:wordWrap/>
        <w:overflowPunct/>
        <w:topLinePunct w:val="0"/>
        <w:autoSpaceDE/>
        <w:autoSpaceDN/>
        <w:bidi w:val="0"/>
        <w:adjustRightInd/>
        <w:snapToGrid w:val="0"/>
        <w:spacing w:line="360" w:lineRule="auto"/>
        <w:ind w:left="719" w:leftChars="114" w:hanging="480" w:hanging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绿化养护项目养护巡查与记录的明确要求包括规范化的巡查流程、详细的记</w:t>
      </w:r>
    </w:p>
    <w:p w14:paraId="572F910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录标准以及管理机制。</w:t>
      </w:r>
    </w:p>
    <w:p w14:paraId="67DCACE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巡查要求</w:t>
      </w:r>
    </w:p>
    <w:p w14:paraId="7CF528F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巡查频率与范围：</w:t>
      </w:r>
    </w:p>
    <w:p w14:paraId="7555288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植物生长状况巡查：每周至少1次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绿化设施巡查：每月至少1次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土壤状况巡查：每季度至少1次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重点区域和季节性植物可增加巡查频率</w:t>
      </w:r>
      <w:r>
        <w:rPr>
          <w:rFonts w:hint="eastAsia" w:ascii="宋体" w:hAnsi="宋体" w:eastAsia="宋体" w:cs="宋体"/>
          <w:color w:val="auto"/>
          <w:sz w:val="24"/>
          <w:szCs w:val="24"/>
          <w:highlight w:val="none"/>
          <w:lang w:eastAsia="zh-CN"/>
        </w:rPr>
        <w:t>。</w:t>
      </w:r>
    </w:p>
    <w:p w14:paraId="21C096B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巡查内容：</w:t>
      </w:r>
    </w:p>
    <w:p w14:paraId="1D82B40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植物生长状况：叶片颜色、枝条健康、病虫害迹象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绿化设施：灌溉设备、围栏、标识牌的完好程度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环境卫生：垃圾杂物清理、枯枝落叶处理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作业规范性：修剪、施肥、病虫害防治的操作标准</w:t>
      </w:r>
      <w:r>
        <w:rPr>
          <w:rFonts w:hint="eastAsia" w:ascii="宋体" w:hAnsi="宋体" w:eastAsia="宋体" w:cs="宋体"/>
          <w:color w:val="auto"/>
          <w:sz w:val="24"/>
          <w:szCs w:val="24"/>
          <w:highlight w:val="none"/>
          <w:lang w:eastAsia="zh-CN"/>
        </w:rPr>
        <w:t>。</w:t>
      </w:r>
    </w:p>
    <w:p w14:paraId="18AEC50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记录要求</w:t>
      </w:r>
    </w:p>
    <w:p w14:paraId="3F8D8D9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记录内容：</w:t>
      </w:r>
    </w:p>
    <w:p w14:paraId="212847E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巡查时间、巡查人员、天气情况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发现的问题及具体位置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处理措施和责任人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整改期限和反馈机制</w:t>
      </w:r>
      <w:r>
        <w:rPr>
          <w:rFonts w:hint="eastAsia" w:ascii="宋体" w:hAnsi="宋体" w:eastAsia="宋体" w:cs="宋体"/>
          <w:color w:val="auto"/>
          <w:sz w:val="24"/>
          <w:szCs w:val="24"/>
          <w:highlight w:val="none"/>
          <w:lang w:eastAsia="zh-CN"/>
        </w:rPr>
        <w:t>。</w:t>
      </w:r>
    </w:p>
    <w:p w14:paraId="3B19890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记录方式：</w:t>
      </w:r>
    </w:p>
    <w:p w14:paraId="26E133E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建立标准化的巡查记录表格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采用数字化记录系统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配合图片、视频等佐证材料</w:t>
      </w:r>
      <w:r>
        <w:rPr>
          <w:rFonts w:hint="eastAsia" w:ascii="宋体" w:hAnsi="宋体" w:eastAsia="宋体" w:cs="宋体"/>
          <w:color w:val="auto"/>
          <w:sz w:val="24"/>
          <w:szCs w:val="24"/>
          <w:highlight w:val="none"/>
          <w:lang w:eastAsia="zh-CN"/>
        </w:rPr>
        <w:t>。</w:t>
      </w:r>
    </w:p>
    <w:p w14:paraId="346DF99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管理机制</w:t>
      </w:r>
    </w:p>
    <w:p w14:paraId="68FD418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问题处理：</w:t>
      </w:r>
    </w:p>
    <w:p w14:paraId="69D84ED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建立问题台账，分类管理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明确整改责任人和期限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复杂问题邀请专家会诊</w:t>
      </w:r>
    </w:p>
    <w:p w14:paraId="4A23649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效果跟踪：</w:t>
      </w:r>
    </w:p>
    <w:p w14:paraId="3784B3A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整改完成后1-2周内复查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验证措施有效性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形成"发现-整改-验证"的闭环管理</w:t>
      </w:r>
      <w:r>
        <w:rPr>
          <w:rFonts w:hint="eastAsia" w:ascii="宋体" w:hAnsi="宋体" w:eastAsia="宋体" w:cs="宋体"/>
          <w:color w:val="auto"/>
          <w:sz w:val="24"/>
          <w:szCs w:val="24"/>
          <w:highlight w:val="none"/>
          <w:lang w:eastAsia="zh-CN"/>
        </w:rPr>
        <w:t>。</w:t>
      </w:r>
    </w:p>
    <w:p w14:paraId="35C1607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制度保障：</w:t>
      </w:r>
    </w:p>
    <w:p w14:paraId="4FAC6A1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建立巡查考核制度，奖优罚劣</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定期开展巡查人员培训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持续优化巡查</w:t>
      </w:r>
      <w:r>
        <w:rPr>
          <w:rFonts w:hint="default" w:ascii="宋体" w:hAnsi="宋体" w:eastAsia="宋体" w:cs="宋体"/>
          <w:color w:val="auto"/>
          <w:sz w:val="24"/>
          <w:szCs w:val="24"/>
          <w:highlight w:val="none"/>
        </w:rPr>
        <w:t>流程和标准</w:t>
      </w:r>
      <w:r>
        <w:rPr>
          <w:rFonts w:hint="eastAsia" w:ascii="宋体" w:hAnsi="宋体" w:eastAsia="宋体" w:cs="宋体"/>
          <w:color w:val="auto"/>
          <w:sz w:val="24"/>
          <w:szCs w:val="24"/>
          <w:highlight w:val="none"/>
          <w:lang w:eastAsia="zh-CN"/>
        </w:rPr>
        <w:t>。</w:t>
      </w:r>
    </w:p>
    <w:p w14:paraId="75215A9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4.2.</w:t>
      </w:r>
      <w:r>
        <w:rPr>
          <w:rFonts w:hint="eastAsia" w:ascii="宋体" w:hAnsi="宋体" w:cs="宋体"/>
          <w:b w:val="0"/>
          <w:bCs w:val="0"/>
          <w:color w:val="auto"/>
          <w:sz w:val="24"/>
          <w:szCs w:val="24"/>
          <w:highlight w:val="none"/>
          <w:lang w:val="en-US" w:eastAsia="zh-CN"/>
        </w:rPr>
        <w:t>5服务</w:t>
      </w:r>
      <w:r>
        <w:rPr>
          <w:rFonts w:hint="eastAsia" w:ascii="宋体" w:hAnsi="宋体" w:eastAsia="宋体" w:cs="宋体"/>
          <w:b w:val="0"/>
          <w:bCs w:val="0"/>
          <w:color w:val="auto"/>
          <w:sz w:val="24"/>
          <w:szCs w:val="24"/>
          <w:highlight w:val="none"/>
          <w:lang w:val="en-US" w:eastAsia="zh-CN"/>
        </w:rPr>
        <w:t>质量目标承诺与保障</w:t>
      </w:r>
    </w:p>
    <w:p w14:paraId="50D2A8E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方案中的质量责任承诺是体现</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履约能力、技术实力和责任意识的核心文件</w:t>
      </w: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供应商须在技术方案中明确承诺量化质量目标，并提供相应的组织与管理保障机制。包括：目标承诺-明确承诺</w:t>
      </w:r>
      <w:r>
        <w:rPr>
          <w:rFonts w:hint="eastAsia" w:ascii="宋体" w:hAnsi="宋体" w:cs="宋体"/>
          <w:b w:val="0"/>
          <w:bCs w:val="0"/>
          <w:color w:val="auto"/>
          <w:sz w:val="24"/>
          <w:szCs w:val="24"/>
          <w:highlight w:val="none"/>
          <w:lang w:val="en-US" w:eastAsia="zh-CN"/>
        </w:rPr>
        <w:t>时令花卉</w:t>
      </w:r>
      <w:r>
        <w:rPr>
          <w:rFonts w:hint="eastAsia" w:ascii="宋体" w:hAnsi="宋体" w:eastAsia="宋体" w:cs="宋体"/>
          <w:b w:val="0"/>
          <w:bCs w:val="0"/>
          <w:color w:val="auto"/>
          <w:sz w:val="24"/>
          <w:szCs w:val="24"/>
          <w:highlight w:val="none"/>
          <w:lang w:val="en-US" w:eastAsia="zh-CN"/>
        </w:rPr>
        <w:t>成活率（≥</w:t>
      </w:r>
      <w:r>
        <w:rPr>
          <w:rFonts w:hint="eastAsia" w:ascii="宋体" w:hAnsi="宋体" w:cs="宋体"/>
          <w:b w:val="0"/>
          <w:bCs w:val="0"/>
          <w:color w:val="auto"/>
          <w:sz w:val="24"/>
          <w:szCs w:val="24"/>
          <w:highlight w:val="none"/>
          <w:lang w:val="en-US" w:eastAsia="zh-CN"/>
        </w:rPr>
        <w:t>100</w:t>
      </w:r>
      <w:r>
        <w:rPr>
          <w:rFonts w:hint="eastAsia" w:ascii="宋体" w:hAnsi="宋体" w:eastAsia="宋体" w:cs="宋体"/>
          <w:b w:val="0"/>
          <w:bCs w:val="0"/>
          <w:color w:val="auto"/>
          <w:sz w:val="24"/>
          <w:szCs w:val="24"/>
          <w:highlight w:val="none"/>
          <w:lang w:val="en-US" w:eastAsia="zh-CN"/>
        </w:rPr>
        <w:t>%）、景观效果评分（≥90分）等核心指标；组织保障-明确项目经理、技术负责人、质量员的资格、经验与具体质量职责；管理保障-阐述质量信息管理、质量例会、持续改进等机制如何运行，确保质量目标受控。</w:t>
      </w:r>
    </w:p>
    <w:p w14:paraId="31F69D1D">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3灾害性天气和突发事件应急预案</w:t>
      </w:r>
    </w:p>
    <w:p w14:paraId="1FC5C6B7">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本项目涉及大量通行道路</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作业，供应商应详细梳理项目风险因素，制定具有针对性的安全文明</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方案，至少包</w:t>
      </w:r>
      <w:r>
        <w:rPr>
          <w:rFonts w:hint="eastAsia" w:ascii="宋体" w:hAnsi="宋体" w:cs="宋体"/>
          <w:color w:val="auto"/>
          <w:sz w:val="24"/>
          <w:szCs w:val="24"/>
          <w:highlight w:val="none"/>
          <w:lang w:val="en-US" w:eastAsia="zh-CN"/>
        </w:rPr>
        <w:t>含</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预防与预警</w:t>
      </w:r>
      <w:r>
        <w:rPr>
          <w:rFonts w:hint="eastAsia" w:ascii="宋体" w:hAnsi="宋体" w:cs="宋体"/>
          <w:b w:val="0"/>
          <w:bCs w:val="0"/>
          <w:color w:val="auto"/>
          <w:sz w:val="24"/>
          <w:szCs w:val="24"/>
          <w:highlight w:val="none"/>
          <w:u w:val="none"/>
          <w:lang w:val="en-US" w:eastAsia="zh-CN"/>
        </w:rPr>
        <w:t>；（2）</w:t>
      </w:r>
      <w:r>
        <w:rPr>
          <w:rFonts w:hint="eastAsia" w:ascii="宋体" w:hAnsi="宋体" w:eastAsia="宋体" w:cs="宋体"/>
          <w:color w:val="auto"/>
          <w:sz w:val="24"/>
          <w:szCs w:val="24"/>
          <w:highlight w:val="none"/>
          <w:lang w:val="en-US" w:eastAsia="zh-CN"/>
        </w:rPr>
        <w:t>应急响应</w:t>
      </w:r>
      <w:r>
        <w:rPr>
          <w:rFonts w:hint="eastAsia" w:ascii="宋体" w:hAnsi="宋体" w:cs="宋体"/>
          <w:b w:val="0"/>
          <w:bCs w:val="0"/>
          <w:color w:val="auto"/>
          <w:sz w:val="24"/>
          <w:szCs w:val="24"/>
          <w:highlight w:val="none"/>
          <w:u w:val="none"/>
          <w:lang w:val="en-US" w:eastAsia="zh-CN"/>
        </w:rPr>
        <w:t>；（3）</w:t>
      </w:r>
      <w:r>
        <w:rPr>
          <w:rFonts w:ascii="宋体" w:hAnsi="宋体" w:eastAsia="宋体" w:cs="宋体"/>
          <w:color w:val="auto"/>
          <w:sz w:val="24"/>
          <w:szCs w:val="24"/>
          <w:highlight w:val="none"/>
        </w:rPr>
        <w:t>灾害发生时应急处置措施</w:t>
      </w:r>
      <w:r>
        <w:rPr>
          <w:rFonts w:hint="eastAsia" w:ascii="宋体" w:hAnsi="宋体" w:cs="宋体"/>
          <w:color w:val="auto"/>
          <w:sz w:val="24"/>
          <w:szCs w:val="24"/>
          <w:highlight w:val="none"/>
          <w:lang w:eastAsia="zh-CN"/>
        </w:rPr>
        <w:t>。</w:t>
      </w:r>
    </w:p>
    <w:p w14:paraId="28ACCE4D">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预防与预警</w:t>
      </w:r>
    </w:p>
    <w:p w14:paraId="5353473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信息监测与预警</w:t>
      </w:r>
    </w:p>
    <w:p w14:paraId="354B805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对接气象部门：实时获取灾害性天气预警信息（如台风路径、暴雨预警等级）。</w:t>
      </w:r>
    </w:p>
    <w:p w14:paraId="1E3226B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现场巡查：每日巡查。</w:t>
      </w:r>
    </w:p>
    <w:p w14:paraId="51AF534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预警响应：根据预警等级启动相应防范措施。</w:t>
      </w:r>
    </w:p>
    <w:p w14:paraId="25EB0E9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预防措施</w:t>
      </w:r>
    </w:p>
    <w:p w14:paraId="3380199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台风前：清理排水沟。</w:t>
      </w:r>
    </w:p>
    <w:p w14:paraId="7821F8F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大雪前：对</w:t>
      </w:r>
      <w:r>
        <w:rPr>
          <w:rFonts w:hint="eastAsia" w:ascii="宋体" w:hAnsi="宋体" w:cs="宋体"/>
          <w:color w:val="auto"/>
          <w:sz w:val="24"/>
          <w:szCs w:val="24"/>
          <w:highlight w:val="none"/>
          <w:lang w:val="en-US" w:eastAsia="zh-CN"/>
        </w:rPr>
        <w:t>花卉</w:t>
      </w:r>
      <w:r>
        <w:rPr>
          <w:rFonts w:hint="eastAsia" w:ascii="宋体" w:hAnsi="宋体" w:eastAsia="宋体" w:cs="宋体"/>
          <w:color w:val="auto"/>
          <w:sz w:val="24"/>
          <w:szCs w:val="24"/>
          <w:highlight w:val="none"/>
        </w:rPr>
        <w:t>进行雪压预防，储备除雪工具。</w:t>
      </w:r>
    </w:p>
    <w:p w14:paraId="24E3F73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养护</w:t>
      </w:r>
      <w:r>
        <w:rPr>
          <w:rFonts w:hint="eastAsia" w:ascii="宋体" w:hAnsi="宋体" w:eastAsia="宋体" w:cs="宋体"/>
          <w:color w:val="auto"/>
          <w:sz w:val="24"/>
          <w:szCs w:val="24"/>
          <w:highlight w:val="none"/>
        </w:rPr>
        <w:t>区域设置警示标志。</w:t>
      </w:r>
    </w:p>
    <w:p w14:paraId="0E19DE1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机械作业前检查设备安全，驾驶员持证上岗。</w:t>
      </w:r>
    </w:p>
    <w:p w14:paraId="04558628">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应急响应</w:t>
      </w:r>
    </w:p>
    <w:p w14:paraId="4B69292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灾害性天气应急处置</w:t>
      </w:r>
    </w:p>
    <w:p w14:paraId="216E15C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台风、暴雨：使用排水泵疏通积水，防止绿地淹涝。</w:t>
      </w:r>
    </w:p>
    <w:p w14:paraId="23C05FD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大雪：组织除雪队伍，及时清除</w:t>
      </w:r>
      <w:r>
        <w:rPr>
          <w:rFonts w:hint="eastAsia" w:ascii="宋体" w:hAnsi="宋体" w:cs="宋体"/>
          <w:color w:val="auto"/>
          <w:sz w:val="24"/>
          <w:szCs w:val="24"/>
          <w:highlight w:val="none"/>
          <w:lang w:val="en-US" w:eastAsia="zh-CN"/>
        </w:rPr>
        <w:t>花卉</w:t>
      </w:r>
      <w:r>
        <w:rPr>
          <w:rFonts w:hint="eastAsia" w:ascii="宋体" w:hAnsi="宋体" w:eastAsia="宋体" w:cs="宋体"/>
          <w:color w:val="auto"/>
          <w:sz w:val="24"/>
          <w:szCs w:val="24"/>
          <w:highlight w:val="none"/>
        </w:rPr>
        <w:t>积雪</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对重要</w:t>
      </w:r>
      <w:r>
        <w:rPr>
          <w:rFonts w:hint="eastAsia" w:ascii="宋体" w:hAnsi="宋体" w:cs="宋体"/>
          <w:color w:val="auto"/>
          <w:sz w:val="24"/>
          <w:szCs w:val="24"/>
          <w:highlight w:val="none"/>
          <w:lang w:val="en-US" w:eastAsia="zh-CN"/>
        </w:rPr>
        <w:t>花卉</w:t>
      </w:r>
      <w:r>
        <w:rPr>
          <w:rFonts w:hint="eastAsia" w:ascii="宋体" w:hAnsi="宋体" w:eastAsia="宋体" w:cs="宋体"/>
          <w:color w:val="auto"/>
          <w:sz w:val="24"/>
          <w:szCs w:val="24"/>
          <w:highlight w:val="none"/>
        </w:rPr>
        <w:t>采取支撑防护</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使用融雪剂时注意环保，避免污染绿地。</w:t>
      </w:r>
    </w:p>
    <w:p w14:paraId="27AC8B1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交通事故应急处置</w:t>
      </w:r>
    </w:p>
    <w:p w14:paraId="238D0A9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现场保护：立即设置警示标志，防止二次事故，配合交警部门调查。</w:t>
      </w:r>
    </w:p>
    <w:p w14:paraId="070B148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伤员救治：拨打急救电话，协助医疗人员抢救伤员。</w:t>
      </w:r>
    </w:p>
    <w:p w14:paraId="5197532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花卉</w:t>
      </w:r>
      <w:r>
        <w:rPr>
          <w:rFonts w:hint="eastAsia" w:ascii="宋体" w:hAnsi="宋体" w:eastAsia="宋体" w:cs="宋体"/>
          <w:color w:val="auto"/>
          <w:sz w:val="24"/>
          <w:szCs w:val="24"/>
          <w:highlight w:val="none"/>
        </w:rPr>
        <w:t>修复：评估事故对</w:t>
      </w:r>
      <w:r>
        <w:rPr>
          <w:rFonts w:hint="eastAsia" w:ascii="宋体" w:hAnsi="宋体" w:cs="宋体"/>
          <w:color w:val="auto"/>
          <w:sz w:val="24"/>
          <w:szCs w:val="24"/>
          <w:highlight w:val="none"/>
          <w:lang w:val="en-US" w:eastAsia="zh-CN"/>
        </w:rPr>
        <w:t>花卉</w:t>
      </w:r>
      <w:r>
        <w:rPr>
          <w:rFonts w:hint="eastAsia" w:ascii="宋体" w:hAnsi="宋体" w:eastAsia="宋体" w:cs="宋体"/>
          <w:color w:val="auto"/>
          <w:sz w:val="24"/>
          <w:szCs w:val="24"/>
          <w:highlight w:val="none"/>
        </w:rPr>
        <w:t>的损坏程度，制定修复方案。</w:t>
      </w:r>
    </w:p>
    <w:p w14:paraId="31EEC718">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协调沟通：与业主、交警、保险公司等联动，处理事故责任和理赔。</w:t>
      </w:r>
    </w:p>
    <w:p w14:paraId="278FDE45">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4.3.3</w:t>
      </w:r>
      <w:r>
        <w:rPr>
          <w:rFonts w:ascii="宋体" w:hAnsi="宋体" w:eastAsia="宋体" w:cs="宋体"/>
          <w:color w:val="auto"/>
          <w:sz w:val="24"/>
          <w:szCs w:val="24"/>
          <w:highlight w:val="none"/>
        </w:rPr>
        <w:t>灾害发生时应急处置措施</w:t>
      </w:r>
    </w:p>
    <w:p w14:paraId="4E8A56FC">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应急预案是应对突发风险（应对养护自然灾害、交通事故紧急处理以及节假日及各类城市评比、检查时的应对措施等）的核心保障，需围绕 “预防为先、快速响应、科学处置、降低损失”原则构建，核心要点包含预案编制基础、风险预判与预防（风险隐患发现率≥98%，隐患整改率 100%）、分级响应机制（一级响应时长≤15 分钟，二级响应（如人员受伤）启动时长≤30 分钟，三级响应（如设备故障）启动时长≤1 小时）、典型险情处置流程、后期处置与恢复（险情处置后现场恢复时长≤24 小时）、应急保障（响应启动后 1 小时内应急队伍人员到位率≥95%；应急物资消耗后补充时长≤2 个日历天）、预案管理（应急人员预案交底覆盖率 100%）等。</w:t>
      </w:r>
    </w:p>
    <w:p w14:paraId="2DB81303">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、供应商综合实力要求</w:t>
      </w:r>
    </w:p>
    <w:p w14:paraId="752027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6.1</w:t>
      </w:r>
      <w:r>
        <w:rPr>
          <w:rFonts w:hint="eastAsia" w:ascii="宋体" w:hAnsi="宋体" w:eastAsia="宋体" w:cs="宋体"/>
          <w:color w:val="auto"/>
          <w:sz w:val="24"/>
          <w:szCs w:val="24"/>
          <w:highlight w:val="none"/>
        </w:rPr>
        <w:t>项目负责人具有园林绿化及相关专业</w:t>
      </w:r>
      <w:r>
        <w:rPr>
          <w:rFonts w:hint="eastAsia" w:ascii="宋体" w:hAnsi="宋体" w:cs="宋体"/>
          <w:color w:val="auto"/>
          <w:sz w:val="24"/>
          <w:szCs w:val="24"/>
          <w:highlight w:val="none"/>
          <w:lang w:val="en-US" w:eastAsia="zh-CN"/>
        </w:rPr>
        <w:t>中</w:t>
      </w:r>
      <w:r>
        <w:rPr>
          <w:rFonts w:hint="eastAsia" w:ascii="宋体" w:hAnsi="宋体" w:eastAsia="宋体" w:cs="宋体"/>
          <w:color w:val="auto"/>
          <w:sz w:val="24"/>
          <w:szCs w:val="24"/>
          <w:highlight w:val="none"/>
        </w:rPr>
        <w:t>级及以上职称</w:t>
      </w:r>
      <w:r>
        <w:rPr>
          <w:rFonts w:hint="eastAsia" w:ascii="宋体" w:hAnsi="宋体" w:eastAsia="宋体" w:cs="宋体"/>
          <w:color w:val="auto"/>
          <w:sz w:val="24"/>
          <w:szCs w:val="24"/>
          <w:highlight w:val="none"/>
          <w:lang w:val="en-US" w:eastAsia="zh-CN"/>
        </w:rPr>
        <w:t>的优先</w:t>
      </w:r>
      <w:r>
        <w:rPr>
          <w:rFonts w:hint="eastAsia" w:ascii="宋体" w:hAnsi="宋体" w:eastAsia="宋体" w:cs="宋体"/>
          <w:color w:val="auto"/>
          <w:sz w:val="24"/>
          <w:szCs w:val="24"/>
          <w:highlight w:val="none"/>
        </w:rPr>
        <w:t>。</w:t>
      </w:r>
    </w:p>
    <w:p w14:paraId="4F0B2087">
      <w:pPr>
        <w:pStyle w:val="44"/>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6.2</w:t>
      </w:r>
      <w:r>
        <w:rPr>
          <w:rFonts w:hint="eastAsia" w:ascii="宋体" w:hAnsi="宋体" w:eastAsia="宋体" w:cs="宋体"/>
          <w:bCs/>
          <w:color w:val="auto"/>
          <w:kern w:val="0"/>
          <w:sz w:val="24"/>
          <w:szCs w:val="24"/>
          <w:highlight w:val="none"/>
        </w:rPr>
        <w:t>拟投入本项目的人员（项目经理除外）具有绿化工/花卉园艺工相关证书的</w:t>
      </w:r>
      <w:r>
        <w:rPr>
          <w:rFonts w:hint="eastAsia" w:ascii="宋体" w:hAnsi="宋体" w:eastAsia="宋体" w:cs="宋体"/>
          <w:color w:val="auto"/>
          <w:sz w:val="24"/>
          <w:szCs w:val="24"/>
          <w:highlight w:val="none"/>
          <w:lang w:val="en-US" w:eastAsia="zh-CN"/>
        </w:rPr>
        <w:t>优先</w:t>
      </w:r>
      <w:r>
        <w:rPr>
          <w:rFonts w:hint="eastAsia" w:ascii="宋体" w:hAnsi="宋体" w:eastAsia="宋体" w:cs="宋体"/>
          <w:color w:val="auto"/>
          <w:sz w:val="24"/>
          <w:szCs w:val="24"/>
          <w:highlight w:val="none"/>
        </w:rPr>
        <w:t>。</w:t>
      </w:r>
    </w:p>
    <w:p w14:paraId="5A034E40">
      <w:pPr>
        <w:pStyle w:val="44"/>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6.3</w:t>
      </w:r>
      <w:r>
        <w:rPr>
          <w:rFonts w:hint="eastAsia" w:ascii="宋体" w:hAnsi="宋体" w:eastAsia="宋体" w:cs="宋体"/>
          <w:bCs/>
          <w:color w:val="auto"/>
          <w:kern w:val="0"/>
          <w:sz w:val="24"/>
          <w:szCs w:val="24"/>
          <w:highlight w:val="none"/>
          <w:lang w:val="en-US" w:eastAsia="zh-CN"/>
        </w:rPr>
        <w:t>供应商</w:t>
      </w:r>
      <w:r>
        <w:rPr>
          <w:rFonts w:hint="eastAsia" w:ascii="宋体" w:hAnsi="宋体" w:eastAsia="宋体" w:cs="宋体"/>
          <w:bCs/>
          <w:color w:val="auto"/>
          <w:kern w:val="0"/>
          <w:sz w:val="24"/>
          <w:szCs w:val="24"/>
          <w:highlight w:val="none"/>
        </w:rPr>
        <w:t>配有洒水车1辆</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清运车1辆</w:t>
      </w:r>
      <w:r>
        <w:rPr>
          <w:rFonts w:hint="eastAsia" w:ascii="宋体" w:hAnsi="宋体" w:eastAsia="宋体" w:cs="宋体"/>
          <w:bCs/>
          <w:color w:val="auto"/>
          <w:kern w:val="0"/>
          <w:sz w:val="24"/>
          <w:szCs w:val="24"/>
          <w:highlight w:val="none"/>
          <w:lang w:val="en-US" w:eastAsia="zh-CN"/>
        </w:rPr>
        <w:t>的</w:t>
      </w:r>
      <w:r>
        <w:rPr>
          <w:rFonts w:hint="eastAsia" w:ascii="宋体" w:hAnsi="宋体" w:eastAsia="宋体" w:cs="宋体"/>
          <w:color w:val="auto"/>
          <w:sz w:val="24"/>
          <w:szCs w:val="24"/>
          <w:highlight w:val="none"/>
          <w:lang w:val="en-US" w:eastAsia="zh-CN"/>
        </w:rPr>
        <w:t>优先。</w:t>
      </w:r>
    </w:p>
    <w:p w14:paraId="2CD9655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w:t>
      </w:r>
      <w:r>
        <w:rPr>
          <w:rFonts w:hint="eastAsia" w:ascii="宋体" w:hAnsi="宋体" w:eastAsia="宋体" w:cs="宋体"/>
          <w:color w:val="auto"/>
          <w:sz w:val="24"/>
          <w:szCs w:val="24"/>
          <w:highlight w:val="none"/>
        </w:rPr>
        <w:t>为了确保项目的顺利实施，自202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年1月1日（以</w:t>
      </w:r>
      <w:r>
        <w:rPr>
          <w:rFonts w:hint="eastAsia" w:ascii="宋体" w:hAnsi="宋体" w:cs="宋体"/>
          <w:color w:val="auto"/>
          <w:sz w:val="24"/>
          <w:szCs w:val="24"/>
          <w:highlight w:val="none"/>
          <w:lang w:val="en-US" w:eastAsia="zh-CN"/>
        </w:rPr>
        <w:t>相关</w:t>
      </w:r>
      <w:r>
        <w:rPr>
          <w:rFonts w:hint="eastAsia" w:ascii="宋体" w:hAnsi="宋体" w:eastAsia="宋体" w:cs="宋体"/>
          <w:color w:val="auto"/>
          <w:sz w:val="24"/>
          <w:szCs w:val="24"/>
          <w:highlight w:val="none"/>
          <w:lang w:val="en-US" w:eastAsia="zh-CN"/>
        </w:rPr>
        <w:t>验收证明</w:t>
      </w:r>
      <w:r>
        <w:rPr>
          <w:rFonts w:hint="eastAsia" w:ascii="宋体" w:hAnsi="宋体" w:eastAsia="宋体" w:cs="宋体"/>
          <w:color w:val="auto"/>
          <w:sz w:val="24"/>
          <w:szCs w:val="24"/>
          <w:highlight w:val="none"/>
        </w:rPr>
        <w:t>时间为准）以来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承接过</w:t>
      </w: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业绩且验收合格的</w:t>
      </w:r>
      <w:r>
        <w:rPr>
          <w:rFonts w:hint="eastAsia" w:ascii="宋体" w:hAnsi="宋体" w:eastAsia="宋体" w:cs="宋体"/>
          <w:color w:val="auto"/>
          <w:sz w:val="24"/>
          <w:szCs w:val="24"/>
          <w:highlight w:val="none"/>
          <w:lang w:val="en-US" w:eastAsia="zh-CN"/>
        </w:rPr>
        <w:t>优先</w:t>
      </w:r>
      <w:r>
        <w:rPr>
          <w:rFonts w:hint="eastAsia" w:ascii="宋体" w:hAnsi="宋体" w:eastAsia="宋体" w:cs="宋体"/>
          <w:color w:val="auto"/>
          <w:sz w:val="24"/>
          <w:szCs w:val="24"/>
          <w:highlight w:val="none"/>
        </w:rPr>
        <w:t>。</w:t>
      </w:r>
    </w:p>
    <w:p w14:paraId="5233EE3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自202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年1月1日（以</w:t>
      </w:r>
      <w:r>
        <w:rPr>
          <w:rFonts w:hint="eastAsia" w:ascii="宋体" w:hAnsi="宋体" w:cs="宋体"/>
          <w:color w:val="auto"/>
          <w:sz w:val="24"/>
          <w:szCs w:val="24"/>
          <w:highlight w:val="none"/>
          <w:lang w:val="en-US" w:eastAsia="zh-CN"/>
        </w:rPr>
        <w:t>相关</w:t>
      </w:r>
      <w:r>
        <w:rPr>
          <w:rFonts w:hint="eastAsia" w:ascii="宋体" w:hAnsi="宋体" w:eastAsia="宋体" w:cs="宋体"/>
          <w:color w:val="auto"/>
          <w:sz w:val="24"/>
          <w:szCs w:val="24"/>
          <w:highlight w:val="none"/>
          <w:lang w:val="en-US" w:eastAsia="zh-CN"/>
        </w:rPr>
        <w:t>验收证明</w:t>
      </w:r>
      <w:r>
        <w:rPr>
          <w:rFonts w:hint="eastAsia" w:ascii="宋体" w:hAnsi="宋体" w:eastAsia="宋体" w:cs="宋体"/>
          <w:color w:val="auto"/>
          <w:sz w:val="24"/>
          <w:szCs w:val="24"/>
          <w:highlight w:val="none"/>
        </w:rPr>
        <w:t>时间为准）以来</w:t>
      </w:r>
      <w:r>
        <w:rPr>
          <w:rFonts w:hint="eastAsia" w:ascii="宋体" w:hAnsi="宋体" w:eastAsia="宋体" w:cs="宋体"/>
          <w:color w:val="auto"/>
          <w:sz w:val="24"/>
          <w:szCs w:val="24"/>
          <w:highlight w:val="none"/>
          <w:lang w:val="en-US" w:eastAsia="zh-CN"/>
        </w:rPr>
        <w:t>项目负责人</w:t>
      </w:r>
      <w:r>
        <w:rPr>
          <w:rFonts w:hint="eastAsia" w:ascii="宋体" w:hAnsi="宋体" w:eastAsia="宋体" w:cs="宋体"/>
          <w:color w:val="auto"/>
          <w:sz w:val="24"/>
          <w:szCs w:val="24"/>
          <w:highlight w:val="none"/>
        </w:rPr>
        <w:t>承接过</w:t>
      </w: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业绩且验收合格的</w:t>
      </w:r>
      <w:r>
        <w:rPr>
          <w:rFonts w:hint="eastAsia" w:ascii="宋体" w:hAnsi="宋体" w:eastAsia="宋体" w:cs="宋体"/>
          <w:color w:val="auto"/>
          <w:sz w:val="24"/>
          <w:szCs w:val="24"/>
          <w:highlight w:val="none"/>
          <w:lang w:val="en-US" w:eastAsia="zh-CN"/>
        </w:rPr>
        <w:t>优先。</w:t>
      </w:r>
    </w:p>
    <w:p w14:paraId="633CE32D">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、投标报价范围</w:t>
      </w:r>
    </w:p>
    <w:p w14:paraId="099A1D34">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7.1</w:t>
      </w:r>
      <w:r>
        <w:rPr>
          <w:rFonts w:hint="eastAsia" w:ascii="宋体" w:hAnsi="宋体" w:eastAsia="宋体" w:cs="宋体"/>
          <w:color w:val="auto"/>
          <w:sz w:val="24"/>
          <w:szCs w:val="24"/>
          <w:highlight w:val="none"/>
        </w:rPr>
        <w:t>投标报价为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在投标文件中提出的各项支付金额的总和。投标报价应包括</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在承诺</w:t>
      </w:r>
      <w:r>
        <w:rPr>
          <w:rFonts w:hint="eastAsia" w:ascii="宋体" w:hAnsi="宋体" w:cs="宋体"/>
          <w:color w:val="auto"/>
          <w:sz w:val="24"/>
          <w:szCs w:val="24"/>
          <w:highlight w:val="none"/>
          <w:lang w:val="en-US" w:eastAsia="zh-CN"/>
        </w:rPr>
        <w:t>服务期</w:t>
      </w:r>
      <w:r>
        <w:rPr>
          <w:rFonts w:hint="eastAsia" w:ascii="宋体" w:hAnsi="宋体" w:eastAsia="宋体" w:cs="宋体"/>
          <w:color w:val="auto"/>
          <w:sz w:val="24"/>
          <w:szCs w:val="24"/>
          <w:highlight w:val="none"/>
        </w:rPr>
        <w:t>内，达到</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所承诺的质量标准，为完成本</w:t>
      </w:r>
      <w:r>
        <w:rPr>
          <w:rFonts w:hint="eastAsia" w:ascii="宋体" w:hAnsi="宋体" w:eastAsia="宋体" w:cs="宋体"/>
          <w:color w:val="auto"/>
          <w:sz w:val="24"/>
          <w:szCs w:val="24"/>
          <w:highlight w:val="none"/>
          <w:lang w:val="en-US" w:eastAsia="zh-CN"/>
        </w:rPr>
        <w:t>项目</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范围、招标文件及招标清单所确定的招标范围内的全部内容，所需要支付的一切费用和拟获得的利润、税金，并考虑了应承担的风险。凡漏项或少计均视为已包含在本次投标报价的范围内，采购人不再另行增加费用，结算时均不调整。</w:t>
      </w:r>
    </w:p>
    <w:p w14:paraId="61199F78">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7.2</w:t>
      </w:r>
      <w:r>
        <w:rPr>
          <w:rFonts w:hint="eastAsia" w:ascii="宋体" w:hAnsi="宋体" w:eastAsia="宋体" w:cs="宋体"/>
          <w:color w:val="auto"/>
          <w:sz w:val="24"/>
          <w:szCs w:val="24"/>
          <w:highlight w:val="none"/>
        </w:rPr>
        <w:t>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投标报价须包括挂花栽植并管养成活的所有费用（包括但不限于花草及花盆的采购、运输、装卸、花草栽植（确保成活的措施费）、布置、支撑、保护、保管、修剪、场地清理费、养护、成活、肥料费、管理费、劳务配合、水、电、利润、规费、措施费、税金、成品保护、各种管线、建筑物、构筑物的加固围护、矛盾协调、</w:t>
      </w:r>
      <w:r>
        <w:rPr>
          <w:rFonts w:hint="eastAsia" w:ascii="宋体" w:hAnsi="宋体" w:cs="宋体"/>
          <w:color w:val="auto"/>
          <w:sz w:val="24"/>
          <w:szCs w:val="24"/>
          <w:highlight w:val="none"/>
          <w:lang w:eastAsia="zh-CN"/>
        </w:rPr>
        <w:t>服务</w:t>
      </w:r>
      <w:r>
        <w:rPr>
          <w:rFonts w:hint="eastAsia" w:ascii="宋体" w:hAnsi="宋体" w:eastAsia="宋体" w:cs="宋体"/>
          <w:color w:val="auto"/>
          <w:sz w:val="24"/>
          <w:szCs w:val="24"/>
          <w:highlight w:val="none"/>
        </w:rPr>
        <w:t>措施费以及政策性文件规定等所需的全部费用。购买</w:t>
      </w:r>
      <w:r>
        <w:rPr>
          <w:rFonts w:hint="eastAsia" w:ascii="宋体" w:hAnsi="宋体" w:cs="宋体"/>
          <w:color w:val="auto"/>
          <w:sz w:val="24"/>
          <w:szCs w:val="24"/>
          <w:highlight w:val="none"/>
          <w:lang w:val="en-US" w:eastAsia="zh-CN"/>
        </w:rPr>
        <w:t>营养</w:t>
      </w:r>
      <w:r>
        <w:rPr>
          <w:rFonts w:hint="eastAsia" w:ascii="宋体" w:hAnsi="宋体" w:eastAsia="宋体" w:cs="宋体"/>
          <w:color w:val="auto"/>
          <w:sz w:val="24"/>
          <w:szCs w:val="24"/>
          <w:highlight w:val="none"/>
        </w:rPr>
        <w:t>土以及</w:t>
      </w:r>
      <w:r>
        <w:rPr>
          <w:rFonts w:hint="eastAsia" w:ascii="宋体" w:hAnsi="宋体" w:cs="宋体"/>
          <w:color w:val="auto"/>
          <w:sz w:val="24"/>
          <w:szCs w:val="24"/>
          <w:highlight w:val="none"/>
          <w:lang w:val="en-US" w:eastAsia="zh-CN"/>
        </w:rPr>
        <w:t>营养</w:t>
      </w:r>
      <w:r>
        <w:rPr>
          <w:rFonts w:hint="eastAsia" w:ascii="宋体" w:hAnsi="宋体" w:eastAsia="宋体" w:cs="宋体"/>
          <w:color w:val="auto"/>
          <w:sz w:val="24"/>
          <w:szCs w:val="24"/>
          <w:highlight w:val="none"/>
        </w:rPr>
        <w:t>土壤的消毒，肥力测定费用等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综合考虑在投标报价中，结算不再调整。</w:t>
      </w:r>
    </w:p>
    <w:p w14:paraId="1256A089">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、投标报价的方式</w:t>
      </w:r>
    </w:p>
    <w:p w14:paraId="7258C18D">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8.1</w:t>
      </w:r>
      <w:r>
        <w:rPr>
          <w:rFonts w:hint="eastAsia" w:ascii="宋体" w:hAnsi="宋体" w:cs="宋体"/>
          <w:color w:val="auto"/>
          <w:sz w:val="24"/>
          <w:szCs w:val="24"/>
          <w:highlight w:val="none"/>
          <w:lang w:val="en-US" w:eastAsia="zh-CN"/>
        </w:rPr>
        <w:t>全费用综合</w:t>
      </w:r>
      <w:r>
        <w:rPr>
          <w:rFonts w:hint="eastAsia" w:ascii="宋体" w:hAnsi="宋体" w:eastAsia="宋体" w:cs="宋体"/>
          <w:color w:val="auto"/>
          <w:sz w:val="24"/>
          <w:szCs w:val="24"/>
          <w:highlight w:val="none"/>
        </w:rPr>
        <w:t>单价报价。合同采用“固定</w:t>
      </w:r>
      <w:r>
        <w:rPr>
          <w:rFonts w:hint="eastAsia" w:ascii="宋体" w:hAnsi="宋体" w:cs="宋体"/>
          <w:color w:val="auto"/>
          <w:sz w:val="24"/>
          <w:szCs w:val="24"/>
          <w:highlight w:val="none"/>
          <w:lang w:val="en-US" w:eastAsia="zh-CN"/>
        </w:rPr>
        <w:t>全费用综合</w:t>
      </w:r>
      <w:r>
        <w:rPr>
          <w:rFonts w:hint="eastAsia" w:ascii="宋体" w:hAnsi="宋体" w:eastAsia="宋体" w:cs="宋体"/>
          <w:color w:val="auto"/>
          <w:sz w:val="24"/>
          <w:szCs w:val="24"/>
          <w:highlight w:val="none"/>
        </w:rPr>
        <w:t>单价合同”，以体现风险共担的原则。由采购人提供招标清单，</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以招标清单为基础填报相应的单价并计算合价。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应充分考虑</w:t>
      </w:r>
      <w:r>
        <w:rPr>
          <w:rFonts w:hint="eastAsia" w:ascii="宋体" w:hAnsi="宋体" w:eastAsia="宋体" w:cs="宋体"/>
          <w:color w:val="auto"/>
          <w:sz w:val="24"/>
          <w:szCs w:val="24"/>
          <w:highlight w:val="none"/>
          <w:lang w:val="en-US" w:eastAsia="zh-CN"/>
        </w:rPr>
        <w:t>实施</w:t>
      </w:r>
      <w:r>
        <w:rPr>
          <w:rFonts w:hint="eastAsia" w:ascii="宋体" w:hAnsi="宋体" w:eastAsia="宋体" w:cs="宋体"/>
          <w:color w:val="auto"/>
          <w:sz w:val="24"/>
          <w:szCs w:val="24"/>
          <w:highlight w:val="none"/>
        </w:rPr>
        <w:t>期间各类</w:t>
      </w:r>
      <w:r>
        <w:rPr>
          <w:rFonts w:hint="eastAsia" w:ascii="宋体" w:hAnsi="宋体" w:eastAsia="宋体" w:cs="宋体"/>
          <w:color w:val="auto"/>
          <w:sz w:val="24"/>
          <w:szCs w:val="24"/>
          <w:highlight w:val="none"/>
          <w:lang w:val="en-US" w:eastAsia="zh-CN"/>
        </w:rPr>
        <w:t>花卉</w:t>
      </w:r>
      <w:r>
        <w:rPr>
          <w:rFonts w:hint="eastAsia" w:ascii="宋体" w:hAnsi="宋体" w:eastAsia="宋体" w:cs="宋体"/>
          <w:color w:val="auto"/>
          <w:sz w:val="24"/>
          <w:szCs w:val="24"/>
          <w:highlight w:val="none"/>
        </w:rPr>
        <w:t>的市场风险和国家政策性调整风险系数和采购人对</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期、质量等的要求，并计入综合单价，中标后结算时除</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合同约定允许调整外综合单价不予调整。</w:t>
      </w:r>
    </w:p>
    <w:p w14:paraId="04521C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九</w:t>
      </w:r>
      <w:r>
        <w:rPr>
          <w:rFonts w:hint="eastAsia" w:ascii="宋体" w:hAnsi="宋体" w:eastAsia="宋体" w:cs="宋体"/>
          <w:b/>
          <w:color w:val="auto"/>
          <w:sz w:val="24"/>
          <w:highlight w:val="none"/>
        </w:rPr>
        <w:t>、其他</w:t>
      </w:r>
    </w:p>
    <w:p w14:paraId="2622CD35">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9.1、供应商代理人在开标至评标结束期间应保证联系电话畅通，若因无法联系代理人导致对供应商产生不利的后果由供应商承担。</w:t>
      </w:r>
    </w:p>
    <w:p w14:paraId="1825729B">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本项目中标单位</w:t>
      </w:r>
      <w:r>
        <w:rPr>
          <w:rFonts w:hint="eastAsia" w:ascii="宋体" w:hAnsi="宋体" w:eastAsia="宋体" w:cs="宋体"/>
          <w:b/>
          <w:bCs/>
          <w:color w:val="auto"/>
          <w:sz w:val="24"/>
          <w:szCs w:val="24"/>
          <w:highlight w:val="none"/>
          <w:lang w:val="en-US" w:eastAsia="zh-CN"/>
        </w:rPr>
        <w:t>进场</w:t>
      </w:r>
      <w:r>
        <w:rPr>
          <w:rFonts w:hint="eastAsia" w:ascii="宋体" w:hAnsi="宋体" w:eastAsia="宋体" w:cs="宋体"/>
          <w:b/>
          <w:bCs/>
          <w:color w:val="auto"/>
          <w:sz w:val="24"/>
          <w:szCs w:val="24"/>
          <w:highlight w:val="none"/>
        </w:rPr>
        <w:t>必须重新拟定详细的绿化养护方案报</w:t>
      </w:r>
      <w:r>
        <w:rPr>
          <w:rFonts w:hint="eastAsia" w:ascii="宋体" w:hAnsi="宋体" w:eastAsia="宋体" w:cs="宋体"/>
          <w:b/>
          <w:bCs/>
          <w:color w:val="auto"/>
          <w:sz w:val="24"/>
          <w:szCs w:val="24"/>
          <w:highlight w:val="none"/>
          <w:lang w:eastAsia="zh-CN"/>
        </w:rPr>
        <w:t>采购人</w:t>
      </w:r>
      <w:r>
        <w:rPr>
          <w:rFonts w:hint="eastAsia" w:ascii="宋体" w:hAnsi="宋体" w:eastAsia="宋体" w:cs="宋体"/>
          <w:b/>
          <w:bCs/>
          <w:color w:val="auto"/>
          <w:sz w:val="24"/>
          <w:szCs w:val="24"/>
          <w:highlight w:val="none"/>
        </w:rPr>
        <w:t>审核并通过，且中标单位按</w:t>
      </w:r>
      <w:r>
        <w:rPr>
          <w:rFonts w:hint="eastAsia" w:ascii="宋体" w:hAnsi="宋体" w:eastAsia="宋体" w:cs="宋体"/>
          <w:b/>
          <w:bCs/>
          <w:color w:val="auto"/>
          <w:sz w:val="24"/>
          <w:szCs w:val="24"/>
          <w:highlight w:val="none"/>
          <w:lang w:eastAsia="zh-CN"/>
        </w:rPr>
        <w:t>采购人</w:t>
      </w:r>
      <w:r>
        <w:rPr>
          <w:rFonts w:hint="eastAsia" w:ascii="宋体" w:hAnsi="宋体" w:eastAsia="宋体" w:cs="宋体"/>
          <w:b/>
          <w:bCs/>
          <w:color w:val="auto"/>
          <w:sz w:val="24"/>
          <w:szCs w:val="24"/>
          <w:highlight w:val="none"/>
        </w:rPr>
        <w:t>相关要求执行，否则责任自负。</w:t>
      </w:r>
    </w:p>
    <w:p w14:paraId="023B2C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十</w:t>
      </w:r>
      <w:r>
        <w:rPr>
          <w:rFonts w:hint="eastAsia" w:ascii="宋体" w:hAnsi="宋体" w:eastAsia="宋体" w:cs="宋体"/>
          <w:b/>
          <w:color w:val="auto"/>
          <w:sz w:val="24"/>
          <w:highlight w:val="none"/>
        </w:rPr>
        <w:t>、招标清单</w:t>
      </w:r>
      <w:r>
        <w:rPr>
          <w:rFonts w:hint="eastAsia" w:ascii="宋体" w:hAnsi="宋体" w:eastAsia="宋体" w:cs="宋体"/>
          <w:b/>
          <w:color w:val="auto"/>
          <w:sz w:val="24"/>
          <w:highlight w:val="none"/>
          <w:lang w:val="en-US" w:eastAsia="zh-CN"/>
        </w:rPr>
        <w:t>及设计方案</w:t>
      </w:r>
    </w:p>
    <w:p w14:paraId="4FF346FC">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通过网盘分享的文件：</w:t>
      </w:r>
      <w:r>
        <w:rPr>
          <w:rFonts w:hint="eastAsia" w:ascii="宋体" w:hAnsi="宋体" w:cs="宋体"/>
          <w:color w:val="auto"/>
          <w:sz w:val="24"/>
          <w:szCs w:val="24"/>
          <w:highlight w:val="none"/>
          <w:lang w:eastAsia="zh-CN"/>
        </w:rPr>
        <w:t>盐城市区2025-2026年主要道路及节点时令花卉布置项目</w:t>
      </w:r>
    </w:p>
    <w:p w14:paraId="33821344">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链接: https://pan.baidu.com/s/1ZAkZ9M9f8RBxlzvwd5iUNA 提取码: 1234 </w:t>
      </w:r>
    </w:p>
    <w:p w14:paraId="5426DE7D">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2D63F1E">
      <w:pPr>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rPr>
        <w:br w:type="page"/>
      </w:r>
    </w:p>
    <w:p w14:paraId="0010D045">
      <w:pPr>
        <w:jc w:val="center"/>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rPr>
        <w:t>第五章  评标方法与评标标准</w:t>
      </w:r>
    </w:p>
    <w:p w14:paraId="760BFA02">
      <w:pPr>
        <w:ind w:firstLine="420"/>
        <w:rPr>
          <w:rFonts w:hint="eastAsia" w:ascii="宋体" w:hAnsi="宋体" w:eastAsia="宋体" w:cs="宋体"/>
          <w:color w:val="auto"/>
          <w:szCs w:val="21"/>
          <w:highlight w:val="none"/>
        </w:rPr>
      </w:pPr>
    </w:p>
    <w:p w14:paraId="29FB138A">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3148A7D1">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法。</w:t>
      </w: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6FC3C2B4">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政府采购政策功能落实</w:t>
      </w:r>
    </w:p>
    <w:p w14:paraId="5D88633A">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1、小微企业</w:t>
      </w:r>
    </w:p>
    <w:p w14:paraId="31452993">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（1）本项目专门面向中小企业采购的项目，不再执行价格评审优惠的扶持政策，投标人必须属于中小微企业，提供企业</w:t>
      </w:r>
      <w:r>
        <w:rPr>
          <w:rFonts w:hint="eastAsia" w:ascii="宋体" w:hAnsi="宋体" w:eastAsia="宋体" w:cs="宋体"/>
          <w:bCs/>
          <w:color w:val="auto"/>
          <w:sz w:val="24"/>
          <w:szCs w:val="24"/>
          <w:highlight w:val="none"/>
          <w:lang w:val="en-US" w:eastAsia="zh-CN"/>
        </w:rPr>
        <w:t>类</w:t>
      </w:r>
      <w:r>
        <w:rPr>
          <w:rFonts w:hint="eastAsia" w:ascii="宋体" w:hAnsi="宋体" w:eastAsia="宋体" w:cs="宋体"/>
          <w:bCs/>
          <w:color w:val="auto"/>
          <w:sz w:val="24"/>
          <w:szCs w:val="24"/>
          <w:highlight w:val="none"/>
        </w:rPr>
        <w:t>声明函，否则作为无效标处理。</w:t>
      </w:r>
    </w:p>
    <w:p w14:paraId="09216120">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投标人</w:t>
      </w:r>
      <w:r>
        <w:rPr>
          <w:rFonts w:hint="eastAsia" w:ascii="宋体" w:hAnsi="宋体" w:eastAsia="宋体" w:cs="宋体"/>
          <w:bCs/>
          <w:color w:val="auto"/>
          <w:sz w:val="24"/>
          <w:szCs w:val="24"/>
          <w:highlight w:val="none"/>
        </w:rPr>
        <w:t>需按照</w:t>
      </w:r>
      <w:r>
        <w:rPr>
          <w:rFonts w:hint="eastAsia" w:ascii="宋体" w:hAnsi="宋体" w:eastAsia="宋体" w:cs="宋体"/>
          <w:bCs/>
          <w:color w:val="auto"/>
          <w:sz w:val="24"/>
          <w:szCs w:val="24"/>
          <w:highlight w:val="none"/>
          <w:lang w:val="en-US" w:eastAsia="zh-CN"/>
        </w:rPr>
        <w:t>招标</w:t>
      </w:r>
      <w:r>
        <w:rPr>
          <w:rFonts w:hint="eastAsia" w:ascii="宋体" w:hAnsi="宋体" w:eastAsia="宋体" w:cs="宋体"/>
          <w:bCs/>
          <w:color w:val="auto"/>
          <w:sz w:val="24"/>
          <w:szCs w:val="24"/>
          <w:highlight w:val="none"/>
        </w:rPr>
        <w:t>文件的要求提供相应的《</w:t>
      </w:r>
      <w:r>
        <w:rPr>
          <w:rFonts w:hint="eastAsia" w:ascii="宋体" w:hAnsi="宋体" w:eastAsia="宋体" w:cs="宋体"/>
          <w:bCs/>
          <w:color w:val="auto"/>
          <w:sz w:val="24"/>
          <w:szCs w:val="24"/>
          <w:highlight w:val="none"/>
          <w:lang w:eastAsia="zh-CN"/>
        </w:rPr>
        <w:t>中小微企业声明函</w:t>
      </w:r>
      <w:r>
        <w:rPr>
          <w:rFonts w:hint="eastAsia" w:ascii="宋体" w:hAnsi="宋体" w:eastAsia="宋体" w:cs="宋体"/>
          <w:bCs/>
          <w:color w:val="auto"/>
          <w:sz w:val="24"/>
          <w:szCs w:val="24"/>
          <w:highlight w:val="none"/>
        </w:rPr>
        <w:t xml:space="preserve">》。 </w:t>
      </w:r>
    </w:p>
    <w:p w14:paraId="6FF1958C">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（3）企业标准请参照《关于印发中小企业划型标准规定的通知》（工信部联企业[2011]300号）文件规定自行填写。</w:t>
      </w:r>
    </w:p>
    <w:p w14:paraId="7A6A6963">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（4）采购标的的所属行业为</w:t>
      </w:r>
      <w:r>
        <w:rPr>
          <w:rFonts w:hint="eastAsia" w:ascii="宋体" w:hAnsi="宋体" w:eastAsia="宋体" w:cs="宋体"/>
          <w:b/>
          <w:color w:val="auto"/>
          <w:sz w:val="24"/>
          <w:szCs w:val="24"/>
          <w:highlight w:val="none"/>
          <w:u w:val="single"/>
        </w:rPr>
        <w:t>其他未列明行业</w:t>
      </w:r>
      <w:r>
        <w:rPr>
          <w:rFonts w:hint="eastAsia" w:ascii="宋体" w:hAnsi="宋体" w:eastAsia="宋体" w:cs="宋体"/>
          <w:bCs/>
          <w:color w:val="auto"/>
          <w:sz w:val="24"/>
          <w:szCs w:val="24"/>
          <w:highlight w:val="none"/>
        </w:rPr>
        <w:t>，根据《工业和信息化部、国家统计局、国家发展和改革委员会、财政部关于印发中小企业划型标准规定的通知》（工信部联企业[2011]300号）规定的划分标准填写。</w:t>
      </w:r>
    </w:p>
    <w:p w14:paraId="353E6EA0">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 </w:t>
      </w:r>
    </w:p>
    <w:p w14:paraId="639ACC2E">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（1）本项目对残疾人福利性单位视同小型、微型企业。</w:t>
      </w:r>
    </w:p>
    <w:p w14:paraId="0C8ECA2F">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（2）残疾人福利单位需按照采购文件的要求提供《残疾人福利性单位声明函》。</w:t>
      </w:r>
    </w:p>
    <w:p w14:paraId="0F0F688C">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（3）残疾人福利单位标准请参照《关于促进残疾人就业政府采购政策的通知》（财库〔2017〕141号）。 </w:t>
      </w:r>
    </w:p>
    <w:p w14:paraId="4846A0E7">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3、监狱和戒毒企业 </w:t>
      </w:r>
    </w:p>
    <w:p w14:paraId="7228BBAE">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（1）本项目对监狱和戒毒企业（简称监狱企业）视同小型、微型企业。 </w:t>
      </w:r>
    </w:p>
    <w:p w14:paraId="1EE1CF40">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（2）监狱企业参加政府采购活动时，需提供由省级以上监狱管理局、戒毒管理局(含新疆生产建设兵团)出具的属于监狱企业的证明文件。 </w:t>
      </w:r>
    </w:p>
    <w:p w14:paraId="59989B83">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（3）监狱企业标准请参照《关于政府采购支持监狱企业发展有关问题的通知》（财库[2014]68号）。 </w:t>
      </w:r>
    </w:p>
    <w:p w14:paraId="6CDA2240">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 </w:t>
      </w:r>
    </w:p>
    <w:p w14:paraId="1195A163">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环境标志产品认证证书)。节能产品、环境标志产品品目清单以递交投标文件截止时已正式公布的最近一期信息为准，</w:t>
      </w:r>
      <w:r>
        <w:rPr>
          <w:rFonts w:hint="eastAsia" w:ascii="宋体" w:hAnsi="宋体" w:eastAsia="宋体" w:cs="宋体"/>
          <w:b/>
          <w:i/>
          <w:color w:val="auto"/>
          <w:sz w:val="24"/>
          <w:highlight w:val="none"/>
        </w:rPr>
        <w:t>如属政府强制采购产品未提供认证证书的或认证证书提供不全的将视为未实质性响应采购要求</w:t>
      </w:r>
      <w:r>
        <w:rPr>
          <w:rFonts w:hint="eastAsia" w:ascii="宋体" w:hAnsi="宋体" w:eastAsia="宋体" w:cs="宋体"/>
          <w:bCs/>
          <w:color w:val="auto"/>
          <w:sz w:val="24"/>
          <w:szCs w:val="24"/>
          <w:highlight w:val="none"/>
        </w:rPr>
        <w:t>。其他条件相同情况下，应当优先采购节能产品、环境标志产品。</w:t>
      </w:r>
    </w:p>
    <w:p w14:paraId="6F849B34">
      <w:pPr>
        <w:pStyle w:val="31"/>
        <w:keepNext w:val="0"/>
        <w:keepLines w:val="0"/>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6、</w:t>
      </w:r>
      <w:r>
        <w:rPr>
          <w:rFonts w:hint="eastAsia" w:ascii="宋体" w:hAnsi="宋体" w:eastAsia="宋体" w:cs="宋体"/>
          <w:b/>
          <w:bCs/>
          <w:color w:val="auto"/>
          <w:highlight w:val="none"/>
        </w:rPr>
        <w:t>根据《关于推动解决政府采购异常低价问题相关工作的通知》（苏财购〔2025〕62号）文件要求：</w:t>
      </w:r>
    </w:p>
    <w:p w14:paraId="4BB95DDC">
      <w:pPr>
        <w:pStyle w:val="31"/>
        <w:keepNext w:val="0"/>
        <w:keepLines w:val="0"/>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(一)评审过程中出现下列情形之一的，评审委员会应当启动异常低价投标审查程序:</w:t>
      </w:r>
    </w:p>
    <w:p w14:paraId="055809BC">
      <w:pPr>
        <w:pStyle w:val="31"/>
        <w:keepNext w:val="0"/>
        <w:keepLines w:val="0"/>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1.投标( 响应)报价低于采购项目预算 50%的，即投标(响 应)报价&lt;采购项目预算 x50%;</w:t>
      </w:r>
    </w:p>
    <w:p w14:paraId="4A9B73D5">
      <w:pPr>
        <w:pStyle w:val="31"/>
        <w:keepNext w:val="0"/>
        <w:keepLines w:val="0"/>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2.投标(响应)报价低于采购项目最高限价45%的，即投标(响应)报价&lt;采购项目最高限价 x45%;</w:t>
      </w:r>
    </w:p>
    <w:p w14:paraId="535BD393">
      <w:pPr>
        <w:pStyle w:val="31"/>
        <w:keepNext w:val="0"/>
        <w:keepLines w:val="0"/>
        <w:pageBreakBefore w:val="0"/>
        <w:widowControl w:val="0"/>
        <w:kinsoku/>
        <w:wordWrap/>
        <w:overflowPunct/>
        <w:topLinePunct w:val="0"/>
        <w:autoSpaceDE/>
        <w:autoSpaceDN/>
        <w:bidi w:val="0"/>
        <w:adjustRightInd/>
        <w:snapToGrid w:val="0"/>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3.评审委员会认定的供应商报价过低、有可能影响产品质里或者不能诚信履约的其他情形。</w:t>
      </w:r>
    </w:p>
    <w:p w14:paraId="1581091C">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highlight w:val="none"/>
        </w:rPr>
        <w:t>(二)</w:t>
      </w:r>
      <w:r>
        <w:rPr>
          <w:rFonts w:hint="eastAsia" w:ascii="宋体" w:hAnsi="宋体" w:eastAsia="宋体" w:cs="宋体"/>
          <w:color w:val="auto"/>
          <w:sz w:val="24"/>
          <w:szCs w:val="24"/>
          <w:highlight w:val="none"/>
          <w:lang w:val="en-US" w:eastAsia="zh-CN"/>
        </w:rPr>
        <w:t>启动异常低价响应审查后，评审委员会应当要求相关供应商在接到评标委员会通知后半小时内（如项目较复杂则合理延长时间，最长不超过1小时），提供项目具体成本测算等与报价合理性相关的说明及相关证明材料（结合人工、设备、本地市场行情、踏勘差旅等），对响应价格作出解释，由评审委员会结合同类产品在主要电商平台的价格、该行业当地薪资水平、该行业本地市场行情、设备费用、踏勘差旅费等情况，依据专业经验对供应商报价合理性进行判断。响应供应商不提供说明、证明材料，或者提供的说明、证明材料不能证明其报价合理性的，评审委员会应当将其作为无效响应处理。审查相关情况在评审报告中进行记录。</w:t>
      </w:r>
    </w:p>
    <w:p w14:paraId="5F2D78BE">
      <w:pPr>
        <w:spacing w:line="440" w:lineRule="exact"/>
        <w:ind w:firstLine="480" w:firstLineChars="200"/>
        <w:jc w:val="left"/>
        <w:rPr>
          <w:rFonts w:hint="eastAsia" w:ascii="宋体" w:hAnsi="宋体" w:eastAsia="宋体" w:cs="宋体"/>
          <w:color w:val="auto"/>
          <w:sz w:val="24"/>
          <w:szCs w:val="24"/>
          <w:highlight w:val="none"/>
          <w:lang w:val="en-US" w:eastAsia="zh-CN"/>
        </w:rPr>
      </w:pPr>
    </w:p>
    <w:p w14:paraId="52D783F2">
      <w:pPr>
        <w:spacing w:line="440" w:lineRule="exact"/>
        <w:ind w:firstLine="480" w:firstLineChars="200"/>
        <w:jc w:val="left"/>
        <w:rPr>
          <w:rFonts w:hint="eastAsia" w:ascii="宋体" w:hAnsi="宋体" w:eastAsia="宋体" w:cs="宋体"/>
          <w:color w:val="auto"/>
          <w:sz w:val="24"/>
          <w:szCs w:val="24"/>
          <w:highlight w:val="none"/>
          <w:lang w:val="en-US" w:eastAsia="zh-CN"/>
        </w:rPr>
      </w:pPr>
    </w:p>
    <w:p w14:paraId="7C09968F">
      <w:pPr>
        <w:spacing w:line="440" w:lineRule="exact"/>
        <w:ind w:firstLine="480" w:firstLineChars="200"/>
        <w:jc w:val="left"/>
        <w:rPr>
          <w:rFonts w:hint="eastAsia" w:ascii="宋体" w:hAnsi="宋体" w:eastAsia="宋体" w:cs="宋体"/>
          <w:color w:val="auto"/>
          <w:sz w:val="24"/>
          <w:szCs w:val="24"/>
          <w:highlight w:val="none"/>
          <w:lang w:val="en-US" w:eastAsia="zh-CN"/>
        </w:rPr>
      </w:pPr>
    </w:p>
    <w:p w14:paraId="5D0C06D1">
      <w:pPr>
        <w:spacing w:line="440" w:lineRule="exact"/>
        <w:ind w:firstLine="480" w:firstLineChars="200"/>
        <w:jc w:val="left"/>
        <w:rPr>
          <w:rFonts w:hint="eastAsia" w:ascii="宋体" w:hAnsi="宋体" w:eastAsia="宋体" w:cs="宋体"/>
          <w:color w:val="auto"/>
          <w:sz w:val="24"/>
          <w:szCs w:val="24"/>
          <w:highlight w:val="none"/>
          <w:lang w:val="en-US" w:eastAsia="zh-CN"/>
        </w:rPr>
      </w:pPr>
    </w:p>
    <w:p w14:paraId="7CEC074E">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二、评分标准</w:t>
      </w:r>
    </w:p>
    <w:p w14:paraId="0469BF76">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本项目评分总分值为100分，具体评分标准如下，最终得分取两位小数。</w:t>
      </w:r>
    </w:p>
    <w:tbl>
      <w:tblPr>
        <w:tblStyle w:val="38"/>
        <w:tblpPr w:leftFromText="180" w:rightFromText="180" w:vertAnchor="text" w:horzAnchor="page" w:tblpX="1519" w:tblpY="557"/>
        <w:tblOverlap w:val="never"/>
        <w:tblW w:w="88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85" w:type="dxa"/>
          <w:left w:w="57" w:type="dxa"/>
          <w:bottom w:w="85" w:type="dxa"/>
          <w:right w:w="57" w:type="dxa"/>
        </w:tblCellMar>
      </w:tblPr>
      <w:tblGrid>
        <w:gridCol w:w="787"/>
        <w:gridCol w:w="1217"/>
        <w:gridCol w:w="1660"/>
        <w:gridCol w:w="5170"/>
      </w:tblGrid>
      <w:tr w14:paraId="078C3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57" w:type="dxa"/>
            <w:bottom w:w="85" w:type="dxa"/>
            <w:right w:w="57" w:type="dxa"/>
          </w:tblCellMar>
        </w:tblPrEx>
        <w:trPr>
          <w:trHeight w:val="282" w:hRule="atLeast"/>
          <w:tblHeader/>
        </w:trPr>
        <w:tc>
          <w:tcPr>
            <w:tcW w:w="787" w:type="dxa"/>
            <w:tcMar>
              <w:top w:w="85" w:type="dxa"/>
              <w:left w:w="57" w:type="dxa"/>
              <w:bottom w:w="85" w:type="dxa"/>
              <w:right w:w="57" w:type="dxa"/>
            </w:tcMar>
            <w:vAlign w:val="center"/>
          </w:tcPr>
          <w:p w14:paraId="10AB6856">
            <w:pPr>
              <w:pStyle w:val="196"/>
              <w:keepNext/>
              <w:tabs>
                <w:tab w:val="left" w:pos="0"/>
              </w:tabs>
              <w:snapToGrid w:val="0"/>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2877" w:type="dxa"/>
            <w:gridSpan w:val="2"/>
            <w:tcMar>
              <w:top w:w="85" w:type="dxa"/>
              <w:left w:w="57" w:type="dxa"/>
              <w:bottom w:w="85" w:type="dxa"/>
              <w:right w:w="57" w:type="dxa"/>
            </w:tcMar>
            <w:vAlign w:val="center"/>
          </w:tcPr>
          <w:p w14:paraId="49005CB0">
            <w:pPr>
              <w:pStyle w:val="196"/>
              <w:keepNext/>
              <w:tabs>
                <w:tab w:val="left" w:pos="0"/>
              </w:tabs>
              <w:snapToGrid w:val="0"/>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w:t>
            </w:r>
          </w:p>
        </w:tc>
        <w:tc>
          <w:tcPr>
            <w:tcW w:w="5170" w:type="dxa"/>
            <w:tcMar>
              <w:top w:w="85" w:type="dxa"/>
              <w:left w:w="57" w:type="dxa"/>
              <w:bottom w:w="85" w:type="dxa"/>
              <w:right w:w="57" w:type="dxa"/>
            </w:tcMar>
            <w:vAlign w:val="center"/>
          </w:tcPr>
          <w:p w14:paraId="1F2AB816">
            <w:pPr>
              <w:pStyle w:val="196"/>
              <w:keepNext/>
              <w:tabs>
                <w:tab w:val="left" w:pos="0"/>
              </w:tabs>
              <w:snapToGrid w:val="0"/>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r>
      <w:tr w14:paraId="50EE6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57" w:type="dxa"/>
            <w:bottom w:w="85" w:type="dxa"/>
            <w:right w:w="57" w:type="dxa"/>
          </w:tblCellMar>
        </w:tblPrEx>
        <w:trPr>
          <w:trHeight w:val="1566" w:hRule="atLeast"/>
        </w:trPr>
        <w:tc>
          <w:tcPr>
            <w:tcW w:w="787" w:type="dxa"/>
            <w:tcMar>
              <w:top w:w="85" w:type="dxa"/>
              <w:left w:w="57" w:type="dxa"/>
              <w:bottom w:w="85" w:type="dxa"/>
              <w:right w:w="57" w:type="dxa"/>
            </w:tcMar>
            <w:vAlign w:val="center"/>
          </w:tcPr>
          <w:p w14:paraId="228D5DD8">
            <w:pPr>
              <w:pStyle w:val="196"/>
              <w:keepNext/>
              <w:tabs>
                <w:tab w:val="left" w:pos="0"/>
              </w:tabs>
              <w:snapToGrid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p>
        </w:tc>
        <w:tc>
          <w:tcPr>
            <w:tcW w:w="1217" w:type="dxa"/>
            <w:tcMar>
              <w:top w:w="85" w:type="dxa"/>
              <w:left w:w="57" w:type="dxa"/>
              <w:bottom w:w="85" w:type="dxa"/>
              <w:right w:w="57" w:type="dxa"/>
            </w:tcMar>
            <w:vAlign w:val="center"/>
          </w:tcPr>
          <w:p w14:paraId="1A898CAE">
            <w:pPr>
              <w:pStyle w:val="196"/>
              <w:keepNext/>
              <w:keepLines w:val="0"/>
              <w:pageBreakBefore w:val="0"/>
              <w:widowControl w:val="0"/>
              <w:tabs>
                <w:tab w:val="left" w:pos="0"/>
              </w:tabs>
              <w:kinsoku/>
              <w:wordWrap/>
              <w:overflowPunct/>
              <w:topLinePunct w:val="0"/>
              <w:autoSpaceDE/>
              <w:autoSpaceDN/>
              <w:bidi w:val="0"/>
              <w:adjustRightInd/>
              <w:snapToGrid w:val="0"/>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p w14:paraId="14E0535F">
            <w:pPr>
              <w:pStyle w:val="196"/>
              <w:keepNext/>
              <w:keepLines w:val="0"/>
              <w:pageBreakBefore w:val="0"/>
              <w:widowControl w:val="0"/>
              <w:tabs>
                <w:tab w:val="left" w:pos="0"/>
              </w:tabs>
              <w:kinsoku/>
              <w:wordWrap/>
              <w:overflowPunct/>
              <w:topLinePunct w:val="0"/>
              <w:autoSpaceDE/>
              <w:autoSpaceDN/>
              <w:bidi w:val="0"/>
              <w:adjustRightInd/>
              <w:snapToGrid w:val="0"/>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tc>
        <w:tc>
          <w:tcPr>
            <w:tcW w:w="1660" w:type="dxa"/>
            <w:tcMar>
              <w:top w:w="85" w:type="dxa"/>
              <w:left w:w="57" w:type="dxa"/>
              <w:bottom w:w="85" w:type="dxa"/>
              <w:right w:w="57" w:type="dxa"/>
            </w:tcMar>
            <w:vAlign w:val="center"/>
          </w:tcPr>
          <w:p w14:paraId="649477C4">
            <w:pPr>
              <w:pStyle w:val="196"/>
              <w:keepNext/>
              <w:keepLines w:val="0"/>
              <w:pageBreakBefore w:val="0"/>
              <w:widowControl w:val="0"/>
              <w:tabs>
                <w:tab w:val="left" w:pos="0"/>
              </w:tabs>
              <w:kinsoku/>
              <w:wordWrap/>
              <w:overflowPunct/>
              <w:topLinePunct w:val="0"/>
              <w:autoSpaceDE/>
              <w:autoSpaceDN/>
              <w:bidi w:val="0"/>
              <w:adjustRightInd/>
              <w:snapToGrid w:val="0"/>
              <w:ind w:left="0" w:leftChars="0" w:right="0" w:rightChars="0" w:firstLine="0" w:firstLineChars="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报价分（</w:t>
            </w:r>
            <w:r>
              <w:rPr>
                <w:rFonts w:hint="eastAsia" w:ascii="宋体" w:hAnsi="宋体" w:eastAsia="宋体" w:cs="宋体"/>
                <w:b w:val="0"/>
                <w:bCs w:val="0"/>
                <w:color w:val="auto"/>
                <w:sz w:val="24"/>
                <w:szCs w:val="24"/>
                <w:highlight w:val="none"/>
                <w:lang w:val="en-US" w:eastAsia="zh-CN"/>
              </w:rPr>
              <w:t>20</w:t>
            </w:r>
            <w:r>
              <w:rPr>
                <w:rFonts w:hint="eastAsia" w:ascii="宋体" w:hAnsi="宋体" w:eastAsia="宋体" w:cs="宋体"/>
                <w:b w:val="0"/>
                <w:bCs w:val="0"/>
                <w:color w:val="auto"/>
                <w:sz w:val="24"/>
                <w:szCs w:val="24"/>
                <w:highlight w:val="none"/>
              </w:rPr>
              <w:t>分）</w:t>
            </w:r>
          </w:p>
        </w:tc>
        <w:tc>
          <w:tcPr>
            <w:tcW w:w="5170" w:type="dxa"/>
            <w:tcMar>
              <w:top w:w="85" w:type="dxa"/>
              <w:left w:w="57" w:type="dxa"/>
              <w:bottom w:w="85" w:type="dxa"/>
              <w:right w:w="57" w:type="dxa"/>
            </w:tcMar>
            <w:vAlign w:val="center"/>
          </w:tcPr>
          <w:p w14:paraId="7EAFEB79">
            <w:pPr>
              <w:pStyle w:val="196"/>
              <w:keepNext/>
              <w:keepLines w:val="0"/>
              <w:pageBreakBefore w:val="0"/>
              <w:widowControl w:val="0"/>
              <w:tabs>
                <w:tab w:val="left" w:pos="0"/>
              </w:tabs>
              <w:kinsoku/>
              <w:wordWrap/>
              <w:overflowPunct/>
              <w:topLinePunct w:val="0"/>
              <w:autoSpaceDE/>
              <w:autoSpaceDN/>
              <w:bidi w:val="0"/>
              <w:adjustRightInd/>
              <w:snapToGrid w:val="0"/>
              <w:ind w:left="0" w:leftChars="0" w:right="0" w:rightChars="0" w:firstLine="0" w:firstLineChars="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满足招标文件要求且投标价格最低的投标报价为评标基准价，其价格分为满分（</w:t>
            </w:r>
            <w:r>
              <w:rPr>
                <w:rFonts w:hint="eastAsia" w:ascii="宋体" w:hAnsi="宋体" w:eastAsia="宋体" w:cs="宋体"/>
                <w:b w:val="0"/>
                <w:bCs w:val="0"/>
                <w:color w:val="auto"/>
                <w:sz w:val="24"/>
                <w:szCs w:val="24"/>
                <w:highlight w:val="none"/>
                <w:lang w:val="en-US" w:eastAsia="zh-CN"/>
              </w:rPr>
              <w:t>20</w:t>
            </w:r>
            <w:r>
              <w:rPr>
                <w:rFonts w:hint="eastAsia" w:ascii="宋体" w:hAnsi="宋体" w:eastAsia="宋体" w:cs="宋体"/>
                <w:b w:val="0"/>
                <w:bCs w:val="0"/>
                <w:color w:val="auto"/>
                <w:sz w:val="24"/>
                <w:szCs w:val="24"/>
                <w:highlight w:val="none"/>
              </w:rPr>
              <w:t>分）。</w:t>
            </w:r>
          </w:p>
          <w:p w14:paraId="5FC681FB">
            <w:pPr>
              <w:pStyle w:val="196"/>
              <w:keepNext/>
              <w:keepLines w:val="0"/>
              <w:pageBreakBefore w:val="0"/>
              <w:widowControl w:val="0"/>
              <w:tabs>
                <w:tab w:val="left" w:pos="0"/>
              </w:tabs>
              <w:kinsoku/>
              <w:wordWrap/>
              <w:overflowPunct/>
              <w:topLinePunct w:val="0"/>
              <w:autoSpaceDE/>
              <w:autoSpaceDN/>
              <w:bidi w:val="0"/>
              <w:adjustRightInd/>
              <w:snapToGrid w:val="0"/>
              <w:ind w:left="0" w:leftChars="0" w:right="0" w:rightChars="0" w:firstLine="0" w:firstLineChars="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其他投标人的价格分统一按照下列公式计算：</w:t>
            </w:r>
          </w:p>
          <w:p w14:paraId="35145D24">
            <w:pPr>
              <w:pStyle w:val="196"/>
              <w:keepNext/>
              <w:keepLines w:val="0"/>
              <w:pageBreakBefore w:val="0"/>
              <w:widowControl w:val="0"/>
              <w:tabs>
                <w:tab w:val="left" w:pos="0"/>
              </w:tabs>
              <w:kinsoku/>
              <w:wordWrap/>
              <w:overflowPunct/>
              <w:topLinePunct w:val="0"/>
              <w:autoSpaceDE/>
              <w:autoSpaceDN/>
              <w:bidi w:val="0"/>
              <w:adjustRightInd/>
              <w:snapToGrid w:val="0"/>
              <w:ind w:left="0" w:leftChars="0" w:right="0" w:rightChars="0" w:firstLine="0" w:firstLineChars="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投标报价得分=（评标基准价/投标报价）×</w:t>
            </w:r>
            <w:r>
              <w:rPr>
                <w:rFonts w:hint="eastAsia" w:ascii="宋体" w:hAnsi="宋体" w:eastAsia="宋体" w:cs="宋体"/>
                <w:b w:val="0"/>
                <w:bCs w:val="0"/>
                <w:color w:val="auto"/>
                <w:sz w:val="24"/>
                <w:szCs w:val="24"/>
                <w:highlight w:val="none"/>
                <w:lang w:val="en-US" w:eastAsia="zh-CN"/>
              </w:rPr>
              <w:t>20</w:t>
            </w:r>
            <w:r>
              <w:rPr>
                <w:rFonts w:hint="eastAsia" w:ascii="宋体" w:hAnsi="宋体" w:eastAsia="宋体" w:cs="宋体"/>
                <w:b w:val="0"/>
                <w:bCs w:val="0"/>
                <w:color w:val="auto"/>
                <w:sz w:val="24"/>
                <w:szCs w:val="24"/>
                <w:highlight w:val="none"/>
              </w:rPr>
              <w:t>。</w:t>
            </w:r>
          </w:p>
          <w:p w14:paraId="377093DC">
            <w:pPr>
              <w:pStyle w:val="196"/>
              <w:keepNext/>
              <w:keepLines w:val="0"/>
              <w:pageBreakBefore w:val="0"/>
              <w:widowControl w:val="0"/>
              <w:tabs>
                <w:tab w:val="left" w:pos="0"/>
              </w:tabs>
              <w:kinsoku/>
              <w:wordWrap/>
              <w:overflowPunct/>
              <w:topLinePunct w:val="0"/>
              <w:autoSpaceDE/>
              <w:autoSpaceDN/>
              <w:bidi w:val="0"/>
              <w:adjustRightInd/>
              <w:snapToGrid w:val="0"/>
              <w:ind w:left="0" w:leftChars="0" w:right="0" w:rightChars="0" w:firstLine="0" w:firstLineChars="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说明：投标报价得分的计算结果保留2位小数（第3位小数四舍五入）。</w:t>
            </w:r>
          </w:p>
        </w:tc>
      </w:tr>
      <w:tr w14:paraId="7DE7D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57" w:type="dxa"/>
            <w:bottom w:w="85" w:type="dxa"/>
            <w:right w:w="57" w:type="dxa"/>
          </w:tblCellMar>
        </w:tblPrEx>
        <w:trPr>
          <w:trHeight w:val="2213" w:hRule="atLeast"/>
        </w:trPr>
        <w:tc>
          <w:tcPr>
            <w:tcW w:w="787" w:type="dxa"/>
            <w:vMerge w:val="restart"/>
            <w:tcMar>
              <w:top w:w="85" w:type="dxa"/>
              <w:left w:w="57" w:type="dxa"/>
              <w:bottom w:w="85" w:type="dxa"/>
              <w:right w:w="57" w:type="dxa"/>
            </w:tcMar>
            <w:vAlign w:val="center"/>
          </w:tcPr>
          <w:p w14:paraId="416ABEAE">
            <w:pPr>
              <w:pStyle w:val="196"/>
              <w:keepNext/>
              <w:tabs>
                <w:tab w:val="left" w:pos="0"/>
              </w:tabs>
              <w:snapToGrid w:val="0"/>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w:t>
            </w:r>
          </w:p>
        </w:tc>
        <w:tc>
          <w:tcPr>
            <w:tcW w:w="1217" w:type="dxa"/>
            <w:vMerge w:val="restart"/>
            <w:tcMar>
              <w:top w:w="85" w:type="dxa"/>
              <w:left w:w="57" w:type="dxa"/>
              <w:bottom w:w="85" w:type="dxa"/>
              <w:right w:w="57" w:type="dxa"/>
            </w:tcMar>
            <w:vAlign w:val="center"/>
          </w:tcPr>
          <w:p w14:paraId="792CD4C6">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技术</w:t>
            </w:r>
            <w:r>
              <w:rPr>
                <w:rFonts w:hint="eastAsia" w:ascii="宋体" w:hAnsi="宋体" w:eastAsia="宋体" w:cs="宋体"/>
                <w:bCs/>
                <w:color w:val="auto"/>
                <w:sz w:val="24"/>
                <w:szCs w:val="24"/>
                <w:highlight w:val="none"/>
              </w:rPr>
              <w:t>方案</w:t>
            </w:r>
          </w:p>
          <w:p w14:paraId="19BEB707">
            <w:pPr>
              <w:pStyle w:val="196"/>
              <w:keepNext/>
              <w:keepLines w:val="0"/>
              <w:pageBreakBefore w:val="0"/>
              <w:widowControl w:val="0"/>
              <w:tabs>
                <w:tab w:val="left" w:pos="0"/>
              </w:tabs>
              <w:kinsoku/>
              <w:wordWrap/>
              <w:overflowPunct/>
              <w:topLinePunct w:val="0"/>
              <w:autoSpaceDE/>
              <w:autoSpaceDN/>
              <w:bidi w:val="0"/>
              <w:adjustRightInd/>
              <w:snapToGrid w:val="0"/>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52</w:t>
            </w:r>
            <w:r>
              <w:rPr>
                <w:rFonts w:hint="eastAsia" w:ascii="宋体" w:hAnsi="宋体" w:eastAsia="宋体" w:cs="宋体"/>
                <w:bCs/>
                <w:color w:val="auto"/>
                <w:sz w:val="24"/>
                <w:szCs w:val="24"/>
                <w:highlight w:val="none"/>
              </w:rPr>
              <w:t>分）</w:t>
            </w:r>
          </w:p>
        </w:tc>
        <w:tc>
          <w:tcPr>
            <w:tcW w:w="1660" w:type="dxa"/>
            <w:tcMar>
              <w:top w:w="85" w:type="dxa"/>
              <w:left w:w="57" w:type="dxa"/>
              <w:bottom w:w="85" w:type="dxa"/>
              <w:right w:w="57" w:type="dxa"/>
            </w:tcMar>
            <w:vAlign w:val="center"/>
          </w:tcPr>
          <w:p w14:paraId="151053F7">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花箱花卉及</w:t>
            </w:r>
            <w:r>
              <w:rPr>
                <w:rFonts w:hint="eastAsia" w:ascii="宋体" w:hAnsi="宋体" w:eastAsia="宋体" w:cs="宋体"/>
                <w:b w:val="0"/>
                <w:bCs w:val="0"/>
                <w:color w:val="auto"/>
                <w:sz w:val="24"/>
                <w:szCs w:val="24"/>
                <w:highlight w:val="none"/>
                <w:lang w:val="en-US" w:eastAsia="zh-CN"/>
              </w:rPr>
              <w:t>空地</w:t>
            </w:r>
            <w:r>
              <w:rPr>
                <w:rFonts w:hint="eastAsia" w:ascii="宋体" w:hAnsi="宋体" w:eastAsia="宋体" w:cs="宋体"/>
                <w:b w:val="0"/>
                <w:bCs w:val="0"/>
                <w:color w:val="auto"/>
                <w:sz w:val="24"/>
                <w:szCs w:val="24"/>
                <w:highlight w:val="none"/>
              </w:rPr>
              <w:t>草花</w:t>
            </w:r>
            <w:r>
              <w:rPr>
                <w:rFonts w:hint="eastAsia" w:ascii="宋体" w:hAnsi="宋体" w:eastAsia="宋体" w:cs="宋体"/>
                <w:b w:val="0"/>
                <w:bCs w:val="0"/>
                <w:color w:val="auto"/>
                <w:sz w:val="24"/>
                <w:szCs w:val="24"/>
                <w:highlight w:val="none"/>
                <w:lang w:val="en-US" w:eastAsia="zh-CN"/>
              </w:rPr>
              <w:t>养护</w:t>
            </w:r>
            <w:r>
              <w:rPr>
                <w:rFonts w:hint="eastAsia" w:ascii="宋体" w:hAnsi="宋体" w:eastAsia="宋体" w:cs="宋体"/>
                <w:b w:val="0"/>
                <w:bCs w:val="0"/>
                <w:color w:val="auto"/>
                <w:sz w:val="24"/>
                <w:szCs w:val="24"/>
                <w:highlight w:val="none"/>
              </w:rPr>
              <w:t>方案（</w:t>
            </w:r>
            <w:r>
              <w:rPr>
                <w:rFonts w:hint="eastAsia" w:ascii="宋体" w:hAnsi="宋体" w:cs="宋体"/>
                <w:b w:val="0"/>
                <w:bCs w:val="0"/>
                <w:color w:val="auto"/>
                <w:sz w:val="24"/>
                <w:szCs w:val="24"/>
                <w:highlight w:val="none"/>
                <w:lang w:val="en-US" w:eastAsia="zh-CN"/>
              </w:rPr>
              <w:t>20</w:t>
            </w:r>
            <w:r>
              <w:rPr>
                <w:rFonts w:hint="eastAsia" w:ascii="宋体" w:hAnsi="宋体" w:eastAsia="宋体" w:cs="宋体"/>
                <w:b w:val="0"/>
                <w:bCs w:val="0"/>
                <w:color w:val="auto"/>
                <w:sz w:val="24"/>
                <w:szCs w:val="24"/>
                <w:highlight w:val="none"/>
              </w:rPr>
              <w:t>分）</w:t>
            </w:r>
          </w:p>
        </w:tc>
        <w:tc>
          <w:tcPr>
            <w:tcW w:w="5170" w:type="dxa"/>
            <w:tcMar>
              <w:top w:w="85" w:type="dxa"/>
              <w:left w:w="57" w:type="dxa"/>
              <w:bottom w:w="85" w:type="dxa"/>
              <w:right w:w="57" w:type="dxa"/>
            </w:tcMar>
            <w:vAlign w:val="center"/>
          </w:tcPr>
          <w:p w14:paraId="48CAF24D">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供应商根据本项目第四章中</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四、技术方案要求4.1</w:t>
            </w:r>
            <w:r>
              <w:rPr>
                <w:rFonts w:hint="eastAsia" w:ascii="宋体" w:hAnsi="宋体" w:eastAsia="宋体" w:cs="宋体"/>
                <w:b w:val="0"/>
                <w:bCs w:val="0"/>
                <w:color w:val="auto"/>
                <w:sz w:val="24"/>
                <w:szCs w:val="24"/>
                <w:highlight w:val="none"/>
              </w:rPr>
              <w:t>花箱花卉及</w:t>
            </w:r>
            <w:r>
              <w:rPr>
                <w:rFonts w:hint="eastAsia" w:ascii="宋体" w:hAnsi="宋体" w:eastAsia="宋体" w:cs="宋体"/>
                <w:b w:val="0"/>
                <w:bCs w:val="0"/>
                <w:color w:val="auto"/>
                <w:sz w:val="24"/>
                <w:szCs w:val="24"/>
                <w:highlight w:val="none"/>
                <w:lang w:val="en-US" w:eastAsia="zh-CN"/>
              </w:rPr>
              <w:t>空地</w:t>
            </w:r>
            <w:r>
              <w:rPr>
                <w:rFonts w:hint="eastAsia" w:ascii="宋体" w:hAnsi="宋体" w:cs="宋体"/>
                <w:b w:val="0"/>
                <w:bCs w:val="0"/>
                <w:color w:val="auto"/>
                <w:sz w:val="24"/>
                <w:szCs w:val="24"/>
                <w:highlight w:val="none"/>
                <w:lang w:eastAsia="zh-CN"/>
              </w:rPr>
              <w:t>时令花卉</w:t>
            </w:r>
            <w:r>
              <w:rPr>
                <w:rFonts w:hint="eastAsia" w:ascii="宋体" w:hAnsi="宋体" w:eastAsia="宋体" w:cs="宋体"/>
                <w:b w:val="0"/>
                <w:bCs w:val="0"/>
                <w:color w:val="auto"/>
                <w:sz w:val="24"/>
                <w:szCs w:val="24"/>
                <w:highlight w:val="none"/>
                <w:lang w:val="en-US" w:eastAsia="zh-CN"/>
              </w:rPr>
              <w:t>养护</w:t>
            </w:r>
            <w:r>
              <w:rPr>
                <w:rFonts w:hint="eastAsia" w:ascii="宋体" w:hAnsi="宋体" w:eastAsia="宋体" w:cs="宋体"/>
                <w:b w:val="0"/>
                <w:bCs w:val="0"/>
                <w:color w:val="auto"/>
                <w:sz w:val="24"/>
                <w:szCs w:val="24"/>
                <w:highlight w:val="none"/>
              </w:rPr>
              <w:t>方案</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要求至少包含：</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color w:val="auto"/>
                <w:sz w:val="24"/>
                <w:szCs w:val="24"/>
                <w:highlight w:val="none"/>
              </w:rPr>
              <w:t>浇水与土壤管理</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布置要求；（3）</w:t>
            </w:r>
            <w:r>
              <w:rPr>
                <w:rFonts w:hint="eastAsia" w:ascii="宋体" w:hAnsi="宋体" w:eastAsia="宋体" w:cs="宋体"/>
                <w:color w:val="auto"/>
                <w:sz w:val="24"/>
                <w:szCs w:val="24"/>
                <w:highlight w:val="none"/>
              </w:rPr>
              <w:t>科学施肥</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清理保洁方案（含</w:t>
            </w:r>
            <w:r>
              <w:rPr>
                <w:rFonts w:hint="eastAsia" w:ascii="宋体" w:hAnsi="宋体" w:eastAsia="宋体" w:cs="宋体"/>
                <w:b w:val="0"/>
                <w:bCs w:val="0"/>
                <w:color w:val="auto"/>
                <w:sz w:val="24"/>
                <w:szCs w:val="24"/>
                <w:highlight w:val="none"/>
                <w:lang w:eastAsia="zh-CN"/>
              </w:rPr>
              <w:t>布置</w:t>
            </w:r>
            <w:r>
              <w:rPr>
                <w:rFonts w:hint="eastAsia" w:ascii="宋体" w:hAnsi="宋体" w:eastAsia="宋体" w:cs="宋体"/>
                <w:b w:val="0"/>
                <w:bCs w:val="0"/>
                <w:color w:val="auto"/>
                <w:sz w:val="24"/>
                <w:szCs w:val="24"/>
                <w:highlight w:val="none"/>
                <w:lang w:val="en-US" w:eastAsia="zh-CN"/>
              </w:rPr>
              <w:t>前后）</w:t>
            </w:r>
            <w:r>
              <w:rPr>
                <w:rFonts w:hint="eastAsia" w:ascii="宋体" w:hAnsi="宋体" w:cs="宋体"/>
                <w:b w:val="0"/>
                <w:bCs w:val="0"/>
                <w:color w:val="auto"/>
                <w:sz w:val="24"/>
                <w:szCs w:val="24"/>
                <w:highlight w:val="none"/>
                <w:lang w:val="en-US" w:eastAsia="zh-CN"/>
              </w:rPr>
              <w:t>（5）</w:t>
            </w:r>
            <w:r>
              <w:rPr>
                <w:rFonts w:hint="eastAsia" w:ascii="宋体" w:hAnsi="宋体" w:eastAsia="宋体" w:cs="宋体"/>
                <w:color w:val="auto"/>
                <w:sz w:val="24"/>
                <w:szCs w:val="24"/>
                <w:highlight w:val="none"/>
              </w:rPr>
              <w:t>病虫害预防与治理</w:t>
            </w:r>
            <w:r>
              <w:rPr>
                <w:rFonts w:hint="eastAsia" w:ascii="宋体" w:hAnsi="宋体" w:eastAsia="宋体" w:cs="宋体"/>
                <w:b w:val="0"/>
                <w:bCs w:val="0"/>
                <w:color w:val="auto"/>
                <w:sz w:val="24"/>
                <w:szCs w:val="24"/>
                <w:highlight w:val="none"/>
                <w:lang w:val="en-US" w:eastAsia="zh-CN"/>
              </w:rPr>
              <w:t>。</w:t>
            </w:r>
          </w:p>
          <w:p w14:paraId="282C8383">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rPr>
              <w:t>以上方案内容完整、准确的得</w:t>
            </w:r>
            <w:r>
              <w:rPr>
                <w:rFonts w:hint="eastAsia" w:ascii="宋体" w:hAnsi="宋体" w:cs="宋体"/>
                <w:b w:val="0"/>
                <w:bCs w:val="0"/>
                <w:color w:val="auto"/>
                <w:sz w:val="24"/>
                <w:szCs w:val="24"/>
                <w:highlight w:val="none"/>
                <w:lang w:val="en-US" w:eastAsia="zh-CN"/>
              </w:rPr>
              <w:t>20</w:t>
            </w:r>
            <w:r>
              <w:rPr>
                <w:rFonts w:hint="eastAsia" w:ascii="宋体" w:hAnsi="宋体" w:eastAsia="宋体" w:cs="宋体"/>
                <w:b w:val="0"/>
                <w:bCs w:val="0"/>
                <w:color w:val="auto"/>
                <w:sz w:val="24"/>
                <w:szCs w:val="24"/>
                <w:highlight w:val="none"/>
                <w:lang w:val="zh-CN"/>
              </w:rPr>
              <w:t>分，每有一项内容缺失的扣</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CN"/>
              </w:rPr>
              <w:t>分，每有一处存在缺陷（缺陷是指不适用于本项目，表述前后不一致或内容矛盾，语句有歧义，仅有框架或标题，涉及的规范及标准错误等任意一种情形）扣</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CN"/>
              </w:rPr>
              <w:t>分，直至该项分值</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CN"/>
              </w:rPr>
              <w:t>分扣完为止。</w:t>
            </w:r>
            <w:r>
              <w:rPr>
                <w:rFonts w:hint="eastAsia" w:ascii="宋体" w:hAnsi="宋体" w:eastAsia="宋体" w:cs="宋体"/>
                <w:b w:val="0"/>
                <w:bCs w:val="0"/>
                <w:color w:val="auto"/>
                <w:sz w:val="24"/>
                <w:szCs w:val="24"/>
                <w:highlight w:val="none"/>
              </w:rPr>
              <w:t>不满足或无此项内容的本项不得分。</w:t>
            </w:r>
          </w:p>
        </w:tc>
      </w:tr>
      <w:tr w14:paraId="4E242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57" w:type="dxa"/>
            <w:bottom w:w="85" w:type="dxa"/>
            <w:right w:w="57" w:type="dxa"/>
          </w:tblCellMar>
        </w:tblPrEx>
        <w:trPr>
          <w:trHeight w:val="2986" w:hRule="atLeast"/>
        </w:trPr>
        <w:tc>
          <w:tcPr>
            <w:tcW w:w="787" w:type="dxa"/>
            <w:vMerge w:val="continue"/>
            <w:tcMar>
              <w:top w:w="85" w:type="dxa"/>
              <w:left w:w="57" w:type="dxa"/>
              <w:bottom w:w="85" w:type="dxa"/>
              <w:right w:w="57" w:type="dxa"/>
            </w:tcMar>
            <w:vAlign w:val="center"/>
          </w:tcPr>
          <w:p w14:paraId="58ECCAD9">
            <w:pPr>
              <w:pStyle w:val="196"/>
              <w:keepNext/>
              <w:tabs>
                <w:tab w:val="left" w:pos="0"/>
              </w:tabs>
              <w:snapToGrid w:val="0"/>
              <w:ind w:left="0" w:leftChars="0" w:right="0" w:rightChars="0" w:firstLine="0" w:firstLineChars="0"/>
              <w:jc w:val="center"/>
              <w:rPr>
                <w:rFonts w:hint="eastAsia" w:ascii="宋体" w:hAnsi="宋体" w:eastAsia="宋体" w:cs="宋体"/>
                <w:color w:val="auto"/>
                <w:sz w:val="24"/>
                <w:szCs w:val="24"/>
                <w:highlight w:val="none"/>
              </w:rPr>
            </w:pPr>
          </w:p>
        </w:tc>
        <w:tc>
          <w:tcPr>
            <w:tcW w:w="1217" w:type="dxa"/>
            <w:vMerge w:val="continue"/>
            <w:tcMar>
              <w:top w:w="85" w:type="dxa"/>
              <w:left w:w="57" w:type="dxa"/>
              <w:bottom w:w="85" w:type="dxa"/>
              <w:right w:w="57" w:type="dxa"/>
            </w:tcMar>
            <w:vAlign w:val="center"/>
          </w:tcPr>
          <w:p w14:paraId="4C36B3A8">
            <w:pPr>
              <w:pStyle w:val="196"/>
              <w:keepNext/>
              <w:keepLines w:val="0"/>
              <w:pageBreakBefore w:val="0"/>
              <w:widowControl w:val="0"/>
              <w:tabs>
                <w:tab w:val="left" w:pos="0"/>
              </w:tabs>
              <w:kinsoku/>
              <w:wordWrap/>
              <w:overflowPunct/>
              <w:topLinePunct w:val="0"/>
              <w:autoSpaceDE/>
              <w:autoSpaceDN/>
              <w:bidi w:val="0"/>
              <w:adjustRightInd/>
              <w:snapToGrid w:val="0"/>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660" w:type="dxa"/>
            <w:shd w:val="clear" w:color="auto" w:fill="auto"/>
            <w:tcMar>
              <w:top w:w="85" w:type="dxa"/>
              <w:left w:w="57" w:type="dxa"/>
              <w:bottom w:w="85" w:type="dxa"/>
              <w:right w:w="57" w:type="dxa"/>
            </w:tcMar>
            <w:vAlign w:val="center"/>
          </w:tcPr>
          <w:p w14:paraId="01B1152B">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服务</w:t>
            </w:r>
            <w:r>
              <w:rPr>
                <w:rFonts w:hint="eastAsia" w:ascii="宋体" w:hAnsi="宋体" w:eastAsia="宋体" w:cs="宋体"/>
                <w:b w:val="0"/>
                <w:bCs w:val="0"/>
                <w:color w:val="auto"/>
                <w:sz w:val="24"/>
                <w:szCs w:val="24"/>
                <w:highlight w:val="none"/>
              </w:rPr>
              <w:t>质量</w:t>
            </w:r>
            <w:r>
              <w:rPr>
                <w:rFonts w:hint="eastAsia" w:ascii="宋体" w:hAnsi="宋体" w:eastAsia="宋体" w:cs="宋体"/>
                <w:b w:val="0"/>
                <w:bCs w:val="0"/>
                <w:color w:val="auto"/>
                <w:sz w:val="24"/>
                <w:szCs w:val="24"/>
                <w:highlight w:val="none"/>
                <w:lang w:val="en-US" w:eastAsia="zh-CN"/>
              </w:rPr>
              <w:t>控制方案</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20</w:t>
            </w:r>
            <w:r>
              <w:rPr>
                <w:rFonts w:hint="eastAsia" w:ascii="宋体" w:hAnsi="宋体" w:eastAsia="宋体" w:cs="宋体"/>
                <w:b w:val="0"/>
                <w:bCs w:val="0"/>
                <w:color w:val="auto"/>
                <w:sz w:val="24"/>
                <w:szCs w:val="24"/>
                <w:highlight w:val="none"/>
              </w:rPr>
              <w:t>分）</w:t>
            </w:r>
          </w:p>
        </w:tc>
        <w:tc>
          <w:tcPr>
            <w:tcW w:w="5170" w:type="dxa"/>
            <w:shd w:val="clear" w:color="auto" w:fill="auto"/>
            <w:tcMar>
              <w:top w:w="85" w:type="dxa"/>
              <w:left w:w="57" w:type="dxa"/>
              <w:bottom w:w="85" w:type="dxa"/>
              <w:right w:w="57" w:type="dxa"/>
            </w:tcMar>
            <w:vAlign w:val="center"/>
          </w:tcPr>
          <w:p w14:paraId="636A76A1">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供应商根据本项目第四章中</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四、技术方案要求4.</w:t>
            </w:r>
            <w:r>
              <w:rPr>
                <w:rFonts w:hint="eastAsia" w:ascii="宋体" w:hAnsi="宋体" w:cs="宋体"/>
                <w:b w:val="0"/>
                <w:bCs w:val="0"/>
                <w:color w:val="auto"/>
                <w:sz w:val="24"/>
                <w:szCs w:val="24"/>
                <w:highlight w:val="none"/>
                <w:lang w:val="en-US" w:eastAsia="zh-CN"/>
              </w:rPr>
              <w:t>2服务</w:t>
            </w:r>
            <w:r>
              <w:rPr>
                <w:rFonts w:hint="eastAsia" w:ascii="宋体" w:hAnsi="宋体" w:eastAsia="宋体" w:cs="宋体"/>
                <w:b w:val="0"/>
                <w:bCs w:val="0"/>
                <w:color w:val="auto"/>
                <w:sz w:val="24"/>
                <w:szCs w:val="24"/>
                <w:highlight w:val="none"/>
                <w:lang w:val="zh-CN"/>
              </w:rPr>
              <w:t>质量</w:t>
            </w:r>
            <w:r>
              <w:rPr>
                <w:rFonts w:hint="eastAsia" w:ascii="宋体" w:hAnsi="宋体" w:eastAsia="宋体" w:cs="宋体"/>
                <w:b w:val="0"/>
                <w:bCs w:val="0"/>
                <w:color w:val="auto"/>
                <w:sz w:val="24"/>
                <w:szCs w:val="24"/>
                <w:highlight w:val="none"/>
                <w:lang w:val="en-US" w:eastAsia="zh-CN"/>
              </w:rPr>
              <w:t>控制方案</w:t>
            </w:r>
            <w:r>
              <w:rPr>
                <w:rFonts w:hint="eastAsia" w:ascii="宋体" w:hAnsi="宋体" w:eastAsia="宋体" w:cs="宋体"/>
                <w:b w:val="0"/>
                <w:bCs w:val="0"/>
                <w:color w:val="auto"/>
                <w:sz w:val="24"/>
                <w:szCs w:val="24"/>
                <w:highlight w:val="none"/>
                <w:lang w:val="zh-CN" w:eastAsia="zh-CN"/>
              </w:rPr>
              <w:t>”</w:t>
            </w:r>
            <w:r>
              <w:rPr>
                <w:rFonts w:hint="eastAsia" w:ascii="宋体" w:hAnsi="宋体" w:eastAsia="宋体" w:cs="宋体"/>
                <w:b w:val="0"/>
                <w:bCs w:val="0"/>
                <w:color w:val="auto"/>
                <w:sz w:val="24"/>
                <w:szCs w:val="24"/>
                <w:highlight w:val="none"/>
                <w:lang w:val="en-US" w:eastAsia="zh-CN"/>
              </w:rPr>
              <w:t>要求至少包含：（1）项目组织架框与职责分工；</w:t>
            </w:r>
            <w:r>
              <w:rPr>
                <w:rFonts w:hint="eastAsia" w:ascii="宋体" w:hAnsi="宋体" w:cs="宋体"/>
                <w:b w:val="0"/>
                <w:bCs w:val="0"/>
                <w:color w:val="auto"/>
                <w:sz w:val="24"/>
                <w:szCs w:val="24"/>
                <w:highlight w:val="none"/>
                <w:lang w:val="en-US" w:eastAsia="zh-CN"/>
              </w:rPr>
              <w:t>（2）布置</w:t>
            </w:r>
            <w:r>
              <w:rPr>
                <w:rFonts w:hint="eastAsia" w:ascii="宋体" w:hAnsi="宋体" w:eastAsia="宋体" w:cs="宋体"/>
                <w:b w:val="0"/>
                <w:bCs w:val="0"/>
                <w:color w:val="auto"/>
                <w:sz w:val="24"/>
                <w:szCs w:val="24"/>
                <w:highlight w:val="none"/>
                <w:lang w:val="en-US" w:eastAsia="zh-CN"/>
              </w:rPr>
              <w:t>质量控制；（</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）养护质量维持；</w:t>
            </w:r>
            <w:r>
              <w:rPr>
                <w:rFonts w:hint="eastAsia" w:ascii="宋体" w:hAnsi="宋体" w:cs="宋体"/>
                <w:b w:val="0"/>
                <w:bCs w:val="0"/>
                <w:color w:val="auto"/>
                <w:sz w:val="24"/>
                <w:szCs w:val="24"/>
                <w:highlight w:val="none"/>
                <w:lang w:val="en-US" w:eastAsia="zh-CN"/>
              </w:rPr>
              <w:t>（4）养护</w:t>
            </w:r>
            <w:r>
              <w:rPr>
                <w:rFonts w:ascii="宋体" w:hAnsi="宋体" w:eastAsia="宋体" w:cs="宋体"/>
                <w:color w:val="auto"/>
                <w:sz w:val="24"/>
                <w:szCs w:val="24"/>
                <w:highlight w:val="none"/>
              </w:rPr>
              <w:t>巡查与记录</w:t>
            </w: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cs="宋体"/>
                <w:b w:val="0"/>
                <w:bCs w:val="0"/>
                <w:color w:val="auto"/>
                <w:sz w:val="24"/>
                <w:szCs w:val="24"/>
                <w:highlight w:val="none"/>
                <w:lang w:val="en-US" w:eastAsia="zh-CN"/>
              </w:rPr>
              <w:t>服务</w:t>
            </w:r>
            <w:r>
              <w:rPr>
                <w:rFonts w:hint="eastAsia" w:ascii="宋体" w:hAnsi="宋体" w:eastAsia="宋体" w:cs="宋体"/>
                <w:b w:val="0"/>
                <w:bCs w:val="0"/>
                <w:color w:val="auto"/>
                <w:sz w:val="24"/>
                <w:szCs w:val="24"/>
                <w:highlight w:val="none"/>
                <w:lang w:val="en-US" w:eastAsia="zh-CN"/>
              </w:rPr>
              <w:t>质量目标承诺与保障</w:t>
            </w:r>
            <w:r>
              <w:rPr>
                <w:rFonts w:hint="eastAsia" w:ascii="宋体" w:hAnsi="宋体" w:eastAsia="宋体" w:cs="宋体"/>
                <w:b w:val="0"/>
                <w:bCs w:val="0"/>
                <w:color w:val="auto"/>
                <w:sz w:val="24"/>
                <w:szCs w:val="24"/>
                <w:highlight w:val="none"/>
                <w:lang w:eastAsia="zh-CN"/>
              </w:rPr>
              <w:t>。</w:t>
            </w:r>
          </w:p>
          <w:p w14:paraId="0814A89D">
            <w:pPr>
              <w:keepNext/>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rPr>
              <w:t>以上方案内容完整、准确的得</w:t>
            </w:r>
            <w:r>
              <w:rPr>
                <w:rFonts w:hint="eastAsia" w:ascii="宋体" w:hAnsi="宋体" w:cs="宋体"/>
                <w:b w:val="0"/>
                <w:bCs w:val="0"/>
                <w:color w:val="auto"/>
                <w:sz w:val="24"/>
                <w:szCs w:val="24"/>
                <w:highlight w:val="none"/>
                <w:lang w:val="en-US" w:eastAsia="zh-CN"/>
              </w:rPr>
              <w:t>20</w:t>
            </w:r>
            <w:r>
              <w:rPr>
                <w:rFonts w:hint="eastAsia" w:ascii="宋体" w:hAnsi="宋体" w:eastAsia="宋体" w:cs="宋体"/>
                <w:b w:val="0"/>
                <w:bCs w:val="0"/>
                <w:color w:val="auto"/>
                <w:sz w:val="24"/>
                <w:szCs w:val="24"/>
                <w:highlight w:val="none"/>
                <w:lang w:val="zh-CN"/>
              </w:rPr>
              <w:t>分，每有一项内容缺失的扣</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CN"/>
              </w:rPr>
              <w:t>分，每有一处存在缺陷（缺陷是指不适用于本项目，表述前后不一致或内容矛盾，语句有歧义，仅有框架或标题，涉及的规范及标准错误等任意一种情形）扣</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CN"/>
              </w:rPr>
              <w:t>分，直至该项分值</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CN"/>
              </w:rPr>
              <w:t>分扣完为止。</w:t>
            </w:r>
            <w:r>
              <w:rPr>
                <w:rFonts w:hint="eastAsia" w:ascii="宋体" w:hAnsi="宋体" w:eastAsia="宋体" w:cs="宋体"/>
                <w:b w:val="0"/>
                <w:bCs w:val="0"/>
                <w:color w:val="auto"/>
                <w:sz w:val="24"/>
                <w:szCs w:val="24"/>
                <w:highlight w:val="none"/>
              </w:rPr>
              <w:t>不满足或无此项内容的本项不得分。</w:t>
            </w:r>
          </w:p>
        </w:tc>
      </w:tr>
      <w:tr w14:paraId="2697B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57" w:type="dxa"/>
            <w:bottom w:w="85" w:type="dxa"/>
            <w:right w:w="57" w:type="dxa"/>
          </w:tblCellMar>
        </w:tblPrEx>
        <w:trPr>
          <w:trHeight w:val="2986" w:hRule="atLeast"/>
        </w:trPr>
        <w:tc>
          <w:tcPr>
            <w:tcW w:w="787" w:type="dxa"/>
            <w:vMerge w:val="continue"/>
            <w:tcMar>
              <w:top w:w="85" w:type="dxa"/>
              <w:left w:w="57" w:type="dxa"/>
              <w:bottom w:w="85" w:type="dxa"/>
              <w:right w:w="57" w:type="dxa"/>
            </w:tcMar>
            <w:vAlign w:val="center"/>
          </w:tcPr>
          <w:p w14:paraId="59D68A7C">
            <w:pPr>
              <w:pStyle w:val="196"/>
              <w:keepNext/>
              <w:tabs>
                <w:tab w:val="left" w:pos="0"/>
              </w:tabs>
              <w:snapToGrid w:val="0"/>
              <w:ind w:left="0" w:leftChars="0" w:right="0" w:rightChars="0" w:firstLine="0" w:firstLineChars="0"/>
              <w:jc w:val="center"/>
              <w:rPr>
                <w:rFonts w:hint="eastAsia" w:ascii="宋体" w:hAnsi="宋体" w:eastAsia="宋体" w:cs="宋体"/>
                <w:color w:val="auto"/>
                <w:sz w:val="24"/>
                <w:szCs w:val="24"/>
                <w:highlight w:val="none"/>
              </w:rPr>
            </w:pPr>
          </w:p>
        </w:tc>
        <w:tc>
          <w:tcPr>
            <w:tcW w:w="1217" w:type="dxa"/>
            <w:vMerge w:val="continue"/>
            <w:tcMar>
              <w:top w:w="85" w:type="dxa"/>
              <w:left w:w="57" w:type="dxa"/>
              <w:bottom w:w="85" w:type="dxa"/>
              <w:right w:w="57" w:type="dxa"/>
            </w:tcMar>
            <w:vAlign w:val="center"/>
          </w:tcPr>
          <w:p w14:paraId="2C263D61">
            <w:pPr>
              <w:pStyle w:val="196"/>
              <w:keepNext/>
              <w:keepLines w:val="0"/>
              <w:pageBreakBefore w:val="0"/>
              <w:widowControl w:val="0"/>
              <w:tabs>
                <w:tab w:val="left" w:pos="0"/>
              </w:tabs>
              <w:kinsoku/>
              <w:wordWrap/>
              <w:overflowPunct/>
              <w:topLinePunct w:val="0"/>
              <w:autoSpaceDE/>
              <w:autoSpaceDN/>
              <w:bidi w:val="0"/>
              <w:adjustRightInd/>
              <w:snapToGrid w:val="0"/>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660" w:type="dxa"/>
            <w:shd w:val="clear" w:color="auto" w:fill="auto"/>
            <w:tcMar>
              <w:top w:w="85" w:type="dxa"/>
              <w:left w:w="57" w:type="dxa"/>
              <w:bottom w:w="85" w:type="dxa"/>
              <w:right w:w="57" w:type="dxa"/>
            </w:tcMar>
            <w:vAlign w:val="center"/>
          </w:tcPr>
          <w:p w14:paraId="409B2DD4">
            <w:pPr>
              <w:pStyle w:val="196"/>
              <w:keepNext/>
              <w:keepLines w:val="0"/>
              <w:pageBreakBefore w:val="0"/>
              <w:widowControl w:val="0"/>
              <w:tabs>
                <w:tab w:val="left" w:pos="0"/>
              </w:tabs>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.灾害性天气和突发事件应急预案（</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分）</w:t>
            </w:r>
          </w:p>
        </w:tc>
        <w:tc>
          <w:tcPr>
            <w:tcW w:w="5170" w:type="dxa"/>
            <w:shd w:val="clear" w:color="auto" w:fill="auto"/>
            <w:tcMar>
              <w:top w:w="85" w:type="dxa"/>
              <w:left w:w="57" w:type="dxa"/>
              <w:bottom w:w="85" w:type="dxa"/>
              <w:right w:w="57" w:type="dxa"/>
            </w:tcMar>
            <w:vAlign w:val="center"/>
          </w:tcPr>
          <w:p w14:paraId="4AC98191">
            <w:pPr>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供应商根据本项目第四章中</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四、技术方案要求4.</w:t>
            </w:r>
            <w:r>
              <w:rPr>
                <w:rFonts w:hint="eastAsia" w:ascii="宋体" w:hAnsi="宋体" w:cs="宋体"/>
                <w:b w:val="0"/>
                <w:bCs w:val="0"/>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灾害性天气和突发事件应急预案</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要求</w:t>
            </w:r>
            <w:r>
              <w:rPr>
                <w:rFonts w:hint="eastAsia" w:ascii="宋体" w:hAnsi="宋体" w:cs="宋体"/>
                <w:color w:val="auto"/>
                <w:sz w:val="24"/>
                <w:szCs w:val="24"/>
                <w:highlight w:val="none"/>
                <w:lang w:val="en-US" w:eastAsia="zh-CN"/>
              </w:rPr>
              <w:t>至少包含：（1）</w:t>
            </w:r>
            <w:r>
              <w:rPr>
                <w:rFonts w:hint="eastAsia" w:ascii="宋体" w:hAnsi="宋体" w:eastAsia="宋体" w:cs="宋体"/>
                <w:color w:val="auto"/>
                <w:sz w:val="24"/>
                <w:szCs w:val="24"/>
                <w:highlight w:val="none"/>
                <w:lang w:val="en-US" w:eastAsia="zh-CN"/>
              </w:rPr>
              <w:t>预防与预警</w:t>
            </w:r>
            <w:r>
              <w:rPr>
                <w:rFonts w:hint="eastAsia" w:ascii="宋体" w:hAnsi="宋体" w:cs="宋体"/>
                <w:b w:val="0"/>
                <w:bCs w:val="0"/>
                <w:color w:val="auto"/>
                <w:sz w:val="24"/>
                <w:szCs w:val="24"/>
                <w:highlight w:val="none"/>
                <w:u w:val="none"/>
                <w:lang w:val="en-US" w:eastAsia="zh-CN"/>
              </w:rPr>
              <w:t>；（2）</w:t>
            </w:r>
            <w:r>
              <w:rPr>
                <w:rFonts w:hint="eastAsia" w:ascii="宋体" w:hAnsi="宋体" w:eastAsia="宋体" w:cs="宋体"/>
                <w:color w:val="auto"/>
                <w:sz w:val="24"/>
                <w:szCs w:val="24"/>
                <w:highlight w:val="none"/>
                <w:lang w:val="en-US" w:eastAsia="zh-CN"/>
              </w:rPr>
              <w:t>应急响应</w:t>
            </w:r>
            <w:r>
              <w:rPr>
                <w:rFonts w:hint="eastAsia" w:ascii="宋体" w:hAnsi="宋体" w:cs="宋体"/>
                <w:b w:val="0"/>
                <w:bCs w:val="0"/>
                <w:color w:val="auto"/>
                <w:sz w:val="24"/>
                <w:szCs w:val="24"/>
                <w:highlight w:val="none"/>
                <w:u w:val="none"/>
                <w:lang w:val="en-US" w:eastAsia="zh-CN"/>
              </w:rPr>
              <w:t>；（3）</w:t>
            </w:r>
            <w:r>
              <w:rPr>
                <w:rFonts w:ascii="宋体" w:hAnsi="宋体" w:eastAsia="宋体" w:cs="宋体"/>
                <w:color w:val="auto"/>
                <w:sz w:val="24"/>
                <w:szCs w:val="24"/>
                <w:highlight w:val="none"/>
              </w:rPr>
              <w:t>灾害发生时应急处置措施</w:t>
            </w:r>
            <w:r>
              <w:rPr>
                <w:rFonts w:hint="eastAsia" w:ascii="宋体" w:hAnsi="宋体" w:cs="宋体"/>
                <w:b w:val="0"/>
                <w:bCs w:val="0"/>
                <w:color w:val="auto"/>
                <w:sz w:val="24"/>
                <w:szCs w:val="24"/>
                <w:highlight w:val="none"/>
                <w:u w:val="none"/>
                <w:lang w:val="en-US" w:eastAsia="zh-CN"/>
              </w:rPr>
              <w:t>。</w:t>
            </w:r>
          </w:p>
          <w:p w14:paraId="0CC51DCC">
            <w:pPr>
              <w:pStyle w:val="44"/>
              <w:rPr>
                <w:rFonts w:hint="eastAsia" w:ascii="宋体" w:hAnsi="Times New Roman" w:eastAsia="宋体" w:cs="Times New Roman"/>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rPr>
              <w:t>以上方案内容完整、准确的得</w:t>
            </w: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CN"/>
              </w:rPr>
              <w:t>分，每有一项内容缺失的扣</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CN"/>
              </w:rPr>
              <w:t>分，每有一处存在缺陷（缺陷是指不适用于本项目，表述前后不一致或内容矛盾，语句有歧义，仅有框架或标题，涉及的规范及标准错误等任意一种情形）扣</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CN"/>
              </w:rPr>
              <w:t>分，直至该项分值</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CN"/>
              </w:rPr>
              <w:t>分扣完为止。</w:t>
            </w:r>
            <w:r>
              <w:rPr>
                <w:rFonts w:hint="eastAsia" w:ascii="宋体" w:hAnsi="宋体" w:eastAsia="宋体" w:cs="宋体"/>
                <w:b w:val="0"/>
                <w:bCs w:val="0"/>
                <w:color w:val="auto"/>
                <w:sz w:val="24"/>
                <w:szCs w:val="24"/>
                <w:highlight w:val="none"/>
              </w:rPr>
              <w:t>不满足或无此项内容的本项不得分。</w:t>
            </w:r>
          </w:p>
        </w:tc>
      </w:tr>
      <w:tr w14:paraId="76C5F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57" w:type="dxa"/>
            <w:bottom w:w="85" w:type="dxa"/>
            <w:right w:w="57" w:type="dxa"/>
          </w:tblCellMar>
        </w:tblPrEx>
        <w:trPr>
          <w:trHeight w:val="0" w:hRule="atLeast"/>
        </w:trPr>
        <w:tc>
          <w:tcPr>
            <w:tcW w:w="787" w:type="dxa"/>
            <w:vMerge w:val="restart"/>
            <w:tcMar>
              <w:top w:w="85" w:type="dxa"/>
              <w:left w:w="57" w:type="dxa"/>
              <w:bottom w:w="85" w:type="dxa"/>
              <w:right w:w="57" w:type="dxa"/>
            </w:tcMar>
            <w:vAlign w:val="center"/>
          </w:tcPr>
          <w:p w14:paraId="3684D3AC">
            <w:pPr>
              <w:pStyle w:val="196"/>
              <w:keepNext/>
              <w:tabs>
                <w:tab w:val="left" w:pos="0"/>
              </w:tabs>
              <w:snapToGrid w:val="0"/>
              <w:ind w:left="0" w:leftChars="0" w:right="0" w:rightChars="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三</w:t>
            </w:r>
          </w:p>
        </w:tc>
        <w:tc>
          <w:tcPr>
            <w:tcW w:w="1217" w:type="dxa"/>
            <w:vMerge w:val="restart"/>
            <w:tcMar>
              <w:top w:w="85" w:type="dxa"/>
              <w:left w:w="57" w:type="dxa"/>
              <w:bottom w:w="85" w:type="dxa"/>
              <w:right w:w="57" w:type="dxa"/>
            </w:tcMar>
            <w:vAlign w:val="center"/>
          </w:tcPr>
          <w:p w14:paraId="1A765408">
            <w:pPr>
              <w:pStyle w:val="196"/>
              <w:keepNext/>
              <w:keepLines w:val="0"/>
              <w:pageBreakBefore w:val="0"/>
              <w:widowControl w:val="0"/>
              <w:tabs>
                <w:tab w:val="left" w:pos="0"/>
              </w:tabs>
              <w:kinsoku/>
              <w:wordWrap/>
              <w:overflowPunct/>
              <w:topLinePunct w:val="0"/>
              <w:autoSpaceDE/>
              <w:autoSpaceDN/>
              <w:bidi w:val="0"/>
              <w:adjustRightInd/>
              <w:snapToGrid w:val="0"/>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企业综合实力</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28</w:t>
            </w:r>
            <w:r>
              <w:rPr>
                <w:rFonts w:hint="eastAsia" w:ascii="宋体" w:hAnsi="宋体" w:eastAsia="宋体" w:cs="宋体"/>
                <w:color w:val="auto"/>
                <w:sz w:val="24"/>
                <w:szCs w:val="24"/>
                <w:highlight w:val="none"/>
              </w:rPr>
              <w:t>分）</w:t>
            </w:r>
          </w:p>
        </w:tc>
        <w:tc>
          <w:tcPr>
            <w:tcW w:w="1660" w:type="dxa"/>
            <w:tcMar>
              <w:top w:w="85" w:type="dxa"/>
              <w:left w:w="57" w:type="dxa"/>
              <w:bottom w:w="85" w:type="dxa"/>
              <w:right w:w="57" w:type="dxa"/>
            </w:tcMar>
            <w:vAlign w:val="center"/>
          </w:tcPr>
          <w:p w14:paraId="04F5A12E">
            <w:pPr>
              <w:pStyle w:val="196"/>
              <w:keepNext/>
              <w:keepLines w:val="0"/>
              <w:pageBreakBefore w:val="0"/>
              <w:widowControl w:val="0"/>
              <w:tabs>
                <w:tab w:val="left" w:pos="0"/>
              </w:tabs>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项目负责人及项目部组成人员(</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分）</w:t>
            </w:r>
          </w:p>
        </w:tc>
        <w:tc>
          <w:tcPr>
            <w:tcW w:w="5170" w:type="dxa"/>
            <w:tcMar>
              <w:top w:w="85" w:type="dxa"/>
              <w:left w:w="57" w:type="dxa"/>
              <w:bottom w:w="85" w:type="dxa"/>
              <w:right w:w="57" w:type="dxa"/>
            </w:tcMar>
            <w:vAlign w:val="center"/>
          </w:tcPr>
          <w:p w14:paraId="72A65867">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rPr>
              <w:t>项目负责人具有园林绿化及相关专业</w:t>
            </w:r>
            <w:r>
              <w:rPr>
                <w:rFonts w:hint="eastAsia" w:ascii="宋体" w:hAnsi="宋体" w:cs="宋体"/>
                <w:color w:val="auto"/>
                <w:sz w:val="24"/>
                <w:szCs w:val="24"/>
                <w:highlight w:val="none"/>
                <w:lang w:eastAsia="zh-CN"/>
              </w:rPr>
              <w:t>副</w:t>
            </w:r>
            <w:r>
              <w:rPr>
                <w:rFonts w:hint="eastAsia" w:ascii="宋体" w:hAnsi="宋体" w:eastAsia="宋体" w:cs="宋体"/>
                <w:color w:val="auto"/>
                <w:sz w:val="24"/>
                <w:szCs w:val="24"/>
                <w:highlight w:val="none"/>
              </w:rPr>
              <w:t>高级及以上职称的得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kern w:val="0"/>
                <w:sz w:val="24"/>
                <w:szCs w:val="24"/>
                <w:highlight w:val="none"/>
              </w:rPr>
              <w:t>具有中级工程师职称证</w:t>
            </w:r>
            <w:r>
              <w:rPr>
                <w:rFonts w:hint="eastAsia" w:ascii="宋体" w:hAnsi="宋体" w:eastAsia="宋体" w:cs="宋体"/>
                <w:bCs/>
                <w:color w:val="auto"/>
                <w:kern w:val="0"/>
                <w:sz w:val="24"/>
                <w:szCs w:val="24"/>
                <w:highlight w:val="none"/>
                <w:lang w:val="en-US" w:eastAsia="zh-CN"/>
              </w:rPr>
              <w:t>书</w:t>
            </w:r>
            <w:r>
              <w:rPr>
                <w:rFonts w:hint="eastAsia" w:ascii="宋体" w:hAnsi="宋体" w:eastAsia="宋体" w:cs="宋体"/>
                <w:bCs/>
                <w:color w:val="auto"/>
                <w:kern w:val="0"/>
                <w:sz w:val="24"/>
                <w:szCs w:val="24"/>
                <w:highlight w:val="none"/>
              </w:rPr>
              <w:t>的得</w:t>
            </w:r>
            <w:r>
              <w:rPr>
                <w:rFonts w:hint="eastAsia" w:ascii="宋体" w:hAnsi="宋体" w:cs="宋体"/>
                <w:bCs/>
                <w:color w:val="auto"/>
                <w:kern w:val="0"/>
                <w:sz w:val="24"/>
                <w:szCs w:val="24"/>
                <w:highlight w:val="none"/>
                <w:lang w:val="en-US" w:eastAsia="zh-CN"/>
              </w:rPr>
              <w:t>3</w:t>
            </w:r>
            <w:r>
              <w:rPr>
                <w:rFonts w:hint="eastAsia" w:ascii="宋体" w:hAnsi="宋体" w:eastAsia="宋体" w:cs="宋体"/>
                <w:bCs/>
                <w:color w:val="auto"/>
                <w:kern w:val="0"/>
                <w:sz w:val="24"/>
                <w:szCs w:val="24"/>
                <w:highlight w:val="none"/>
              </w:rPr>
              <w:t>分，最高</w:t>
            </w:r>
            <w:r>
              <w:rPr>
                <w:rFonts w:hint="eastAsia" w:ascii="宋体" w:hAnsi="宋体" w:cs="宋体"/>
                <w:bCs/>
                <w:color w:val="auto"/>
                <w:kern w:val="0"/>
                <w:sz w:val="24"/>
                <w:szCs w:val="24"/>
                <w:highlight w:val="none"/>
                <w:lang w:val="en-US" w:eastAsia="zh-CN"/>
              </w:rPr>
              <w:t>5</w:t>
            </w:r>
            <w:r>
              <w:rPr>
                <w:rFonts w:hint="eastAsia" w:ascii="宋体" w:hAnsi="宋体" w:eastAsia="宋体" w:cs="宋体"/>
                <w:bCs/>
                <w:color w:val="auto"/>
                <w:kern w:val="0"/>
                <w:sz w:val="24"/>
                <w:szCs w:val="24"/>
                <w:highlight w:val="none"/>
              </w:rPr>
              <w:t>分。未提供或提供不全不得分。</w:t>
            </w:r>
          </w:p>
          <w:p w14:paraId="1AE1DF6A">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注：（1）</w:t>
            </w:r>
            <w:r>
              <w:rPr>
                <w:rFonts w:hint="eastAsia" w:ascii="宋体" w:hAnsi="宋体" w:eastAsia="宋体" w:cs="宋体"/>
                <w:color w:val="auto"/>
                <w:sz w:val="24"/>
                <w:szCs w:val="24"/>
                <w:highlight w:val="none"/>
              </w:rPr>
              <w:t>职称证书</w:t>
            </w:r>
            <w:r>
              <w:rPr>
                <w:rFonts w:hint="eastAsia" w:ascii="宋体" w:hAnsi="宋体" w:eastAsia="宋体" w:cs="宋体"/>
                <w:color w:val="auto"/>
                <w:sz w:val="24"/>
                <w:szCs w:val="24"/>
                <w:highlight w:val="none"/>
                <w:lang w:val="en-US" w:eastAsia="zh-CN"/>
              </w:rPr>
              <w:t>复印件加盖投标人公章</w:t>
            </w:r>
            <w:r>
              <w:rPr>
                <w:rFonts w:hint="eastAsia" w:ascii="宋体" w:hAnsi="宋体" w:eastAsia="宋体" w:cs="宋体"/>
                <w:color w:val="auto"/>
                <w:sz w:val="24"/>
                <w:szCs w:val="24"/>
                <w:highlight w:val="none"/>
                <w:lang w:eastAsia="zh-CN"/>
              </w:rPr>
              <w:t>。</w:t>
            </w:r>
          </w:p>
          <w:p w14:paraId="7C528728">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（2）投标截止日当</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lang w:val="en-US" w:eastAsia="zh-CN"/>
              </w:rPr>
              <w:t>之前三个月</w:t>
            </w:r>
            <w:r>
              <w:rPr>
                <w:rFonts w:hint="eastAsia" w:ascii="宋体" w:hAnsi="宋体" w:eastAsia="宋体" w:cs="宋体"/>
                <w:b w:val="0"/>
                <w:bCs w:val="0"/>
                <w:color w:val="auto"/>
                <w:sz w:val="24"/>
                <w:szCs w:val="24"/>
                <w:highlight w:val="none"/>
              </w:rPr>
              <w:t>内任意一</w:t>
            </w:r>
            <w:r>
              <w:rPr>
                <w:rFonts w:hint="eastAsia" w:ascii="宋体" w:hAnsi="宋体" w:eastAsia="宋体" w:cs="宋体"/>
                <w:b w:val="0"/>
                <w:bCs w:val="0"/>
                <w:color w:val="auto"/>
                <w:sz w:val="24"/>
                <w:szCs w:val="24"/>
                <w:highlight w:val="none"/>
                <w:lang w:val="en-US" w:eastAsia="zh-CN"/>
              </w:rPr>
              <w:t>个月在本单位缴纳养老保险缴费记录证明</w:t>
            </w:r>
            <w:r>
              <w:rPr>
                <w:rFonts w:hint="eastAsia" w:ascii="宋体" w:hAnsi="宋体" w:eastAsia="宋体" w:cs="宋体"/>
                <w:b w:val="0"/>
                <w:bCs w:val="0"/>
                <w:color w:val="auto"/>
                <w:sz w:val="24"/>
                <w:szCs w:val="24"/>
                <w:highlight w:val="none"/>
              </w:rPr>
              <w:t>复印件加盖投标人公章</w:t>
            </w:r>
            <w:r>
              <w:rPr>
                <w:rFonts w:hint="eastAsia" w:ascii="宋体" w:hAnsi="宋体" w:eastAsia="宋体" w:cs="宋体"/>
                <w:color w:val="auto"/>
                <w:sz w:val="24"/>
                <w:szCs w:val="24"/>
                <w:highlight w:val="none"/>
                <w:lang w:val="en-US" w:eastAsia="zh-CN"/>
              </w:rPr>
              <w:t>。</w:t>
            </w:r>
          </w:p>
          <w:p w14:paraId="19E5B28F">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园林绿化及相关专业指：与园林绿化工程规划、设计、施工及养护管理相关的专业，包括园林（含园林规划设计、园林植物、风景园林、园林绿化等）、园艺、城市规划、景观、植物（含植保、森保等）、风景旅游、环境艺术等专业。</w:t>
            </w:r>
          </w:p>
          <w:p w14:paraId="363CE038">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2.拟投入本项目的人员（项目负责人除外）具有绿化工/花卉园艺工相关证书的，每提供1人得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分（每人限一本证书得分），最高得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771D4693">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w:t>
            </w:r>
            <w:r>
              <w:rPr>
                <w:rFonts w:hint="eastAsia" w:ascii="宋体" w:hAnsi="宋体" w:eastAsia="宋体" w:cs="宋体"/>
                <w:color w:val="auto"/>
                <w:sz w:val="24"/>
                <w:szCs w:val="24"/>
                <w:highlight w:val="none"/>
                <w:lang w:val="en-US" w:eastAsia="zh-CN"/>
              </w:rPr>
              <w:t>投标文件中提供相关证书及投标单位为其缴纳的</w:t>
            </w:r>
            <w:r>
              <w:rPr>
                <w:rFonts w:hint="eastAsia" w:ascii="宋体" w:hAnsi="宋体" w:eastAsia="宋体" w:cs="宋体"/>
                <w:b w:val="0"/>
                <w:bCs w:val="0"/>
                <w:color w:val="auto"/>
                <w:sz w:val="24"/>
                <w:szCs w:val="24"/>
                <w:highlight w:val="none"/>
                <w:lang w:val="en-US" w:eastAsia="zh-CN"/>
              </w:rPr>
              <w:t>投标截止日当</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lang w:val="en-US" w:eastAsia="zh-CN"/>
              </w:rPr>
              <w:t>之前三个月</w:t>
            </w:r>
            <w:r>
              <w:rPr>
                <w:rFonts w:hint="eastAsia" w:ascii="宋体" w:hAnsi="宋体" w:eastAsia="宋体" w:cs="宋体"/>
                <w:b w:val="0"/>
                <w:bCs w:val="0"/>
                <w:color w:val="auto"/>
                <w:sz w:val="24"/>
                <w:szCs w:val="24"/>
                <w:highlight w:val="none"/>
              </w:rPr>
              <w:t>内任意一</w:t>
            </w:r>
            <w:r>
              <w:rPr>
                <w:rFonts w:hint="eastAsia" w:ascii="宋体" w:hAnsi="宋体" w:eastAsia="宋体" w:cs="宋体"/>
                <w:b w:val="0"/>
                <w:bCs w:val="0"/>
                <w:color w:val="auto"/>
                <w:sz w:val="24"/>
                <w:szCs w:val="24"/>
                <w:highlight w:val="none"/>
                <w:lang w:val="en-US" w:eastAsia="zh-CN"/>
              </w:rPr>
              <w:t>个月在本单位缴纳养老保险缴费记录证明</w:t>
            </w:r>
            <w:r>
              <w:rPr>
                <w:rFonts w:hint="eastAsia" w:ascii="宋体" w:hAnsi="宋体" w:eastAsia="宋体" w:cs="宋体"/>
                <w:b w:val="0"/>
                <w:bCs w:val="0"/>
                <w:color w:val="auto"/>
                <w:sz w:val="24"/>
                <w:szCs w:val="24"/>
                <w:highlight w:val="none"/>
              </w:rPr>
              <w:t>复印件加盖投标人公章</w:t>
            </w:r>
            <w:r>
              <w:rPr>
                <w:rFonts w:hint="eastAsia" w:ascii="宋体" w:hAnsi="宋体" w:eastAsia="宋体" w:cs="宋体"/>
                <w:bCs/>
                <w:color w:val="auto"/>
                <w:kern w:val="0"/>
                <w:sz w:val="24"/>
                <w:szCs w:val="24"/>
                <w:highlight w:val="none"/>
              </w:rPr>
              <w:t>近期社保证明，未提供或提供不全不得分。</w:t>
            </w:r>
          </w:p>
        </w:tc>
      </w:tr>
      <w:tr w14:paraId="29A04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57" w:type="dxa"/>
            <w:bottom w:w="85" w:type="dxa"/>
            <w:right w:w="57" w:type="dxa"/>
          </w:tblCellMar>
        </w:tblPrEx>
        <w:trPr>
          <w:trHeight w:val="0" w:hRule="atLeast"/>
        </w:trPr>
        <w:tc>
          <w:tcPr>
            <w:tcW w:w="787" w:type="dxa"/>
            <w:vMerge w:val="continue"/>
            <w:tcMar>
              <w:top w:w="85" w:type="dxa"/>
              <w:left w:w="57" w:type="dxa"/>
              <w:bottom w:w="85" w:type="dxa"/>
              <w:right w:w="57" w:type="dxa"/>
            </w:tcMar>
            <w:vAlign w:val="center"/>
          </w:tcPr>
          <w:p w14:paraId="34EC515E">
            <w:pPr>
              <w:pStyle w:val="196"/>
              <w:keepNext/>
              <w:tabs>
                <w:tab w:val="left" w:pos="0"/>
              </w:tabs>
              <w:snapToGrid w:val="0"/>
              <w:ind w:left="0" w:leftChars="0" w:right="0" w:rightChars="0" w:firstLine="0" w:firstLineChars="0"/>
              <w:jc w:val="center"/>
              <w:rPr>
                <w:rFonts w:hint="eastAsia" w:ascii="宋体" w:hAnsi="宋体" w:eastAsia="宋体" w:cs="宋体"/>
                <w:color w:val="auto"/>
                <w:sz w:val="24"/>
                <w:szCs w:val="24"/>
                <w:highlight w:val="none"/>
              </w:rPr>
            </w:pPr>
          </w:p>
        </w:tc>
        <w:tc>
          <w:tcPr>
            <w:tcW w:w="1217" w:type="dxa"/>
            <w:vMerge w:val="continue"/>
            <w:tcMar>
              <w:top w:w="85" w:type="dxa"/>
              <w:left w:w="57" w:type="dxa"/>
              <w:bottom w:w="85" w:type="dxa"/>
              <w:right w:w="57" w:type="dxa"/>
            </w:tcMar>
            <w:vAlign w:val="center"/>
          </w:tcPr>
          <w:p w14:paraId="49265ECD">
            <w:pPr>
              <w:pStyle w:val="196"/>
              <w:keepNext/>
              <w:tabs>
                <w:tab w:val="left" w:pos="0"/>
              </w:tabs>
              <w:snapToGrid w:val="0"/>
              <w:ind w:left="0" w:leftChars="0" w:right="0" w:rightChars="0" w:firstLine="0" w:firstLineChars="0"/>
              <w:jc w:val="center"/>
              <w:rPr>
                <w:rFonts w:hint="eastAsia" w:ascii="宋体" w:hAnsi="宋体" w:eastAsia="宋体" w:cs="宋体"/>
                <w:color w:val="auto"/>
                <w:sz w:val="24"/>
                <w:szCs w:val="24"/>
                <w:highlight w:val="none"/>
              </w:rPr>
            </w:pPr>
          </w:p>
        </w:tc>
        <w:tc>
          <w:tcPr>
            <w:tcW w:w="1660" w:type="dxa"/>
            <w:tcMar>
              <w:top w:w="85" w:type="dxa"/>
              <w:left w:w="57" w:type="dxa"/>
              <w:bottom w:w="85" w:type="dxa"/>
              <w:right w:w="57" w:type="dxa"/>
            </w:tcMar>
            <w:vAlign w:val="center"/>
          </w:tcPr>
          <w:p w14:paraId="44D2E83B">
            <w:pPr>
              <w:pStyle w:val="196"/>
              <w:keepNext/>
              <w:keepLines w:val="0"/>
              <w:pageBreakBefore w:val="0"/>
              <w:widowControl w:val="0"/>
              <w:tabs>
                <w:tab w:val="left" w:pos="0"/>
              </w:tabs>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服务</w:t>
            </w:r>
            <w:r>
              <w:rPr>
                <w:rFonts w:hint="eastAsia" w:ascii="宋体" w:hAnsi="宋体" w:eastAsia="宋体" w:cs="宋体"/>
                <w:color w:val="auto"/>
                <w:sz w:val="24"/>
                <w:szCs w:val="24"/>
                <w:highlight w:val="none"/>
              </w:rPr>
              <w:t>设备</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tc>
        <w:tc>
          <w:tcPr>
            <w:tcW w:w="5170" w:type="dxa"/>
            <w:tcMar>
              <w:top w:w="85" w:type="dxa"/>
              <w:left w:w="57" w:type="dxa"/>
              <w:bottom w:w="85" w:type="dxa"/>
              <w:right w:w="57" w:type="dxa"/>
            </w:tcMar>
            <w:vAlign w:val="center"/>
          </w:tcPr>
          <w:p w14:paraId="0E808D63">
            <w:pPr>
              <w:pStyle w:val="196"/>
              <w:keepNext/>
              <w:keepLines w:val="0"/>
              <w:pageBreakBefore w:val="0"/>
              <w:widowControl w:val="0"/>
              <w:tabs>
                <w:tab w:val="left" w:pos="0"/>
              </w:tabs>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投标人</w:t>
            </w:r>
            <w:r>
              <w:rPr>
                <w:rFonts w:hint="eastAsia" w:ascii="宋体" w:hAnsi="宋体" w:eastAsia="宋体" w:cs="宋体"/>
                <w:bCs/>
                <w:color w:val="auto"/>
                <w:kern w:val="0"/>
                <w:sz w:val="24"/>
                <w:szCs w:val="24"/>
                <w:highlight w:val="none"/>
              </w:rPr>
              <w:t>配有洒水车1辆</w:t>
            </w:r>
            <w:r>
              <w:rPr>
                <w:rFonts w:hint="eastAsia" w:ascii="宋体" w:hAnsi="宋体" w:eastAsia="宋体" w:cs="宋体"/>
                <w:bCs/>
                <w:color w:val="auto"/>
                <w:kern w:val="0"/>
                <w:sz w:val="24"/>
                <w:szCs w:val="24"/>
                <w:highlight w:val="none"/>
                <w:lang w:val="en-US" w:eastAsia="zh-CN"/>
              </w:rPr>
              <w:t>的得</w:t>
            </w:r>
            <w:r>
              <w:rPr>
                <w:rFonts w:hint="eastAsia" w:ascii="宋体" w:hAnsi="宋体" w:cs="宋体"/>
                <w:bCs/>
                <w:color w:val="auto"/>
                <w:kern w:val="0"/>
                <w:sz w:val="24"/>
                <w:szCs w:val="24"/>
                <w:highlight w:val="none"/>
                <w:lang w:val="en-US" w:eastAsia="zh-CN"/>
              </w:rPr>
              <w:t>3.5</w:t>
            </w:r>
            <w:r>
              <w:rPr>
                <w:rFonts w:hint="eastAsia" w:ascii="宋体" w:hAnsi="宋体" w:eastAsia="宋体" w:cs="宋体"/>
                <w:bCs/>
                <w:color w:val="auto"/>
                <w:kern w:val="0"/>
                <w:sz w:val="24"/>
                <w:szCs w:val="24"/>
                <w:highlight w:val="none"/>
                <w:lang w:val="en-US" w:eastAsia="zh-CN"/>
              </w:rPr>
              <w:t>分；</w:t>
            </w:r>
          </w:p>
          <w:p w14:paraId="5EAF3225">
            <w:pPr>
              <w:pStyle w:val="196"/>
              <w:keepNext/>
              <w:keepLines w:val="0"/>
              <w:pageBreakBefore w:val="0"/>
              <w:widowControl w:val="0"/>
              <w:tabs>
                <w:tab w:val="left" w:pos="0"/>
              </w:tabs>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kern w:val="0"/>
                <w:sz w:val="24"/>
                <w:szCs w:val="24"/>
                <w:highlight w:val="none"/>
                <w:lang w:val="en-US" w:eastAsia="zh-CN"/>
              </w:rPr>
              <w:t>投标人配有</w:t>
            </w:r>
            <w:r>
              <w:rPr>
                <w:rFonts w:hint="eastAsia" w:ascii="宋体" w:hAnsi="宋体" w:eastAsia="宋体" w:cs="宋体"/>
                <w:bCs/>
                <w:color w:val="auto"/>
                <w:kern w:val="0"/>
                <w:sz w:val="24"/>
                <w:szCs w:val="24"/>
                <w:highlight w:val="none"/>
              </w:rPr>
              <w:t>清运车1辆</w:t>
            </w:r>
            <w:r>
              <w:rPr>
                <w:rFonts w:hint="eastAsia" w:ascii="宋体" w:hAnsi="宋体" w:eastAsia="宋体" w:cs="宋体"/>
                <w:bCs/>
                <w:color w:val="auto"/>
                <w:kern w:val="0"/>
                <w:sz w:val="24"/>
                <w:szCs w:val="24"/>
                <w:highlight w:val="none"/>
                <w:lang w:val="en-US" w:eastAsia="zh-CN"/>
              </w:rPr>
              <w:t>的得</w:t>
            </w:r>
            <w:r>
              <w:rPr>
                <w:rFonts w:hint="eastAsia" w:ascii="宋体" w:hAnsi="宋体" w:cs="宋体"/>
                <w:bCs/>
                <w:color w:val="auto"/>
                <w:kern w:val="0"/>
                <w:sz w:val="24"/>
                <w:szCs w:val="24"/>
                <w:highlight w:val="none"/>
                <w:lang w:val="en-US" w:eastAsia="zh-CN"/>
              </w:rPr>
              <w:t>3.5</w:t>
            </w:r>
            <w:r>
              <w:rPr>
                <w:rFonts w:hint="eastAsia" w:ascii="宋体" w:hAnsi="宋体" w:eastAsia="宋体" w:cs="宋体"/>
                <w:bCs/>
                <w:color w:val="auto"/>
                <w:kern w:val="0"/>
                <w:sz w:val="24"/>
                <w:szCs w:val="24"/>
                <w:highlight w:val="none"/>
                <w:lang w:val="en-US" w:eastAsia="zh-CN"/>
              </w:rPr>
              <w:t>分。</w:t>
            </w:r>
          </w:p>
          <w:p w14:paraId="72049D95">
            <w:pPr>
              <w:pStyle w:val="196"/>
              <w:keepNext/>
              <w:keepLines w:val="0"/>
              <w:pageBreakBefore w:val="0"/>
              <w:widowControl w:val="0"/>
              <w:tabs>
                <w:tab w:val="left" w:pos="0"/>
              </w:tabs>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注：（1）</w:t>
            </w:r>
            <w:r>
              <w:rPr>
                <w:rFonts w:hint="eastAsia" w:ascii="宋体" w:hAnsi="宋体" w:eastAsia="宋体" w:cs="宋体"/>
                <w:color w:val="auto"/>
                <w:sz w:val="24"/>
                <w:szCs w:val="24"/>
                <w:highlight w:val="none"/>
              </w:rPr>
              <w:t>如投标人提供的</w:t>
            </w:r>
            <w:r>
              <w:rPr>
                <w:rFonts w:hint="eastAsia" w:ascii="宋体" w:hAnsi="宋体" w:eastAsia="宋体" w:cs="宋体"/>
                <w:color w:val="auto"/>
                <w:sz w:val="24"/>
                <w:szCs w:val="24"/>
                <w:highlight w:val="none"/>
                <w:lang w:val="en-US" w:eastAsia="zh-CN"/>
              </w:rPr>
              <w:t>车辆</w:t>
            </w:r>
            <w:r>
              <w:rPr>
                <w:rFonts w:hint="eastAsia" w:ascii="宋体" w:hAnsi="宋体" w:eastAsia="宋体" w:cs="宋体"/>
                <w:color w:val="auto"/>
                <w:sz w:val="24"/>
                <w:szCs w:val="24"/>
                <w:highlight w:val="none"/>
              </w:rPr>
              <w:t>为自有，须提供购车凭证，已办理行驶证的车辆提供投标人本单位自有的有效车辆行驶证，如为新车尚未办理行驶证，则须有投标人名称的购车发票；</w:t>
            </w:r>
          </w:p>
          <w:p w14:paraId="0B91E09F">
            <w:pPr>
              <w:pStyle w:val="196"/>
              <w:keepNext/>
              <w:keepLines w:val="0"/>
              <w:pageBreakBefore w:val="0"/>
              <w:widowControl w:val="0"/>
              <w:numPr>
                <w:ilvl w:val="0"/>
                <w:numId w:val="0"/>
              </w:numPr>
              <w:tabs>
                <w:tab w:val="left" w:pos="0"/>
              </w:tabs>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rPr>
              <w:t>如为租赁，则需</w:t>
            </w:r>
            <w:r>
              <w:rPr>
                <w:rFonts w:hint="eastAsia" w:ascii="宋体" w:hAnsi="宋体" w:cs="宋体"/>
                <w:color w:val="auto"/>
                <w:sz w:val="24"/>
                <w:szCs w:val="24"/>
                <w:highlight w:val="none"/>
                <w:lang w:val="en-US" w:eastAsia="zh-CN"/>
              </w:rPr>
              <w:t>提供</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val="en-US" w:eastAsia="zh-CN"/>
              </w:rPr>
              <w:t>车辆</w:t>
            </w:r>
            <w:r>
              <w:rPr>
                <w:rFonts w:hint="eastAsia" w:ascii="宋体" w:hAnsi="宋体" w:eastAsia="宋体" w:cs="宋体"/>
                <w:color w:val="auto"/>
                <w:sz w:val="24"/>
                <w:szCs w:val="24"/>
                <w:highlight w:val="none"/>
              </w:rPr>
              <w:t>租赁合同（租赁时间须在开标之日前）和租赁车辆有效车辆行驶证</w:t>
            </w:r>
            <w:r>
              <w:rPr>
                <w:rFonts w:hint="eastAsia" w:ascii="宋体" w:hAnsi="宋体" w:eastAsia="宋体" w:cs="宋体"/>
                <w:color w:val="auto"/>
                <w:sz w:val="24"/>
                <w:szCs w:val="24"/>
                <w:highlight w:val="none"/>
                <w:lang w:eastAsia="zh-CN"/>
              </w:rPr>
              <w:t>；</w:t>
            </w:r>
          </w:p>
          <w:p w14:paraId="6D4CAA17">
            <w:pPr>
              <w:pStyle w:val="196"/>
              <w:keepNext/>
              <w:keepLines w:val="0"/>
              <w:pageBreakBefore w:val="0"/>
              <w:widowControl w:val="0"/>
              <w:numPr>
                <w:ilvl w:val="0"/>
                <w:numId w:val="0"/>
              </w:numPr>
              <w:tabs>
                <w:tab w:val="left" w:pos="0"/>
              </w:tabs>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如投标人承诺中标后提供租赁</w:t>
            </w:r>
            <w:r>
              <w:rPr>
                <w:rFonts w:hint="eastAsia" w:ascii="宋体" w:hAnsi="宋体" w:eastAsia="宋体" w:cs="宋体"/>
                <w:color w:val="auto"/>
                <w:sz w:val="24"/>
                <w:szCs w:val="24"/>
                <w:highlight w:val="none"/>
                <w:lang w:val="en-US" w:eastAsia="zh-CN"/>
              </w:rPr>
              <w:t>车辆</w:t>
            </w:r>
            <w:r>
              <w:rPr>
                <w:rFonts w:hint="eastAsia" w:ascii="宋体" w:hAnsi="宋体" w:eastAsia="宋体" w:cs="宋体"/>
                <w:color w:val="auto"/>
                <w:sz w:val="24"/>
                <w:szCs w:val="24"/>
                <w:highlight w:val="none"/>
              </w:rPr>
              <w:t>的，投标时提供承诺函（格式自拟，承诺中标后租赁以上设备供本项目使用）。</w:t>
            </w:r>
          </w:p>
          <w:p w14:paraId="49840BBA">
            <w:pPr>
              <w:pStyle w:val="196"/>
              <w:keepNext/>
              <w:keepLines w:val="0"/>
              <w:pageBreakBefore w:val="0"/>
              <w:widowControl w:val="0"/>
              <w:tabs>
                <w:tab w:val="left" w:pos="0"/>
              </w:tabs>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注：以上材料需提供原件彩色扫描件。</w:t>
            </w:r>
          </w:p>
        </w:tc>
      </w:tr>
      <w:tr w14:paraId="6A495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57" w:type="dxa"/>
            <w:bottom w:w="85" w:type="dxa"/>
            <w:right w:w="57" w:type="dxa"/>
          </w:tblCellMar>
        </w:tblPrEx>
        <w:trPr>
          <w:trHeight w:val="0" w:hRule="atLeast"/>
        </w:trPr>
        <w:tc>
          <w:tcPr>
            <w:tcW w:w="787" w:type="dxa"/>
            <w:vMerge w:val="continue"/>
            <w:tcMar>
              <w:top w:w="85" w:type="dxa"/>
              <w:left w:w="57" w:type="dxa"/>
              <w:bottom w:w="85" w:type="dxa"/>
              <w:right w:w="57" w:type="dxa"/>
            </w:tcMar>
            <w:vAlign w:val="center"/>
          </w:tcPr>
          <w:p w14:paraId="09E7DB1C">
            <w:pPr>
              <w:pStyle w:val="196"/>
              <w:keepNext/>
              <w:tabs>
                <w:tab w:val="left" w:pos="0"/>
              </w:tabs>
              <w:snapToGrid w:val="0"/>
              <w:ind w:left="0" w:leftChars="0" w:right="0" w:rightChars="0" w:firstLine="0" w:firstLineChars="0"/>
              <w:jc w:val="center"/>
              <w:rPr>
                <w:rFonts w:hint="eastAsia" w:ascii="宋体" w:hAnsi="宋体" w:eastAsia="宋体" w:cs="宋体"/>
                <w:color w:val="auto"/>
                <w:sz w:val="24"/>
                <w:szCs w:val="24"/>
                <w:highlight w:val="none"/>
              </w:rPr>
            </w:pPr>
          </w:p>
        </w:tc>
        <w:tc>
          <w:tcPr>
            <w:tcW w:w="1217" w:type="dxa"/>
            <w:vMerge w:val="continue"/>
            <w:tcMar>
              <w:top w:w="85" w:type="dxa"/>
              <w:left w:w="57" w:type="dxa"/>
              <w:bottom w:w="85" w:type="dxa"/>
              <w:right w:w="57" w:type="dxa"/>
            </w:tcMar>
            <w:vAlign w:val="center"/>
          </w:tcPr>
          <w:p w14:paraId="4D881777">
            <w:pPr>
              <w:pStyle w:val="196"/>
              <w:keepNext/>
              <w:tabs>
                <w:tab w:val="left" w:pos="0"/>
              </w:tabs>
              <w:snapToGrid w:val="0"/>
              <w:ind w:left="0" w:leftChars="0" w:right="0" w:rightChars="0" w:firstLine="0" w:firstLineChars="0"/>
              <w:jc w:val="center"/>
              <w:rPr>
                <w:rFonts w:hint="eastAsia" w:ascii="宋体" w:hAnsi="宋体" w:eastAsia="宋体" w:cs="宋体"/>
                <w:color w:val="auto"/>
                <w:sz w:val="24"/>
                <w:szCs w:val="24"/>
                <w:highlight w:val="none"/>
              </w:rPr>
            </w:pPr>
          </w:p>
        </w:tc>
        <w:tc>
          <w:tcPr>
            <w:tcW w:w="1660" w:type="dxa"/>
            <w:tcMar>
              <w:top w:w="85" w:type="dxa"/>
              <w:left w:w="57" w:type="dxa"/>
              <w:bottom w:w="85" w:type="dxa"/>
              <w:right w:w="57" w:type="dxa"/>
            </w:tcMar>
            <w:vAlign w:val="center"/>
          </w:tcPr>
          <w:p w14:paraId="5FDE0694">
            <w:pPr>
              <w:pStyle w:val="196"/>
              <w:keepNext/>
              <w:keepLines w:val="0"/>
              <w:pageBreakBefore w:val="0"/>
              <w:widowControl w:val="0"/>
              <w:tabs>
                <w:tab w:val="left" w:pos="0"/>
              </w:tabs>
              <w:kinsoku/>
              <w:wordWrap/>
              <w:overflowPunct/>
              <w:topLinePunct w:val="0"/>
              <w:autoSpaceDE/>
              <w:autoSpaceDN/>
              <w:bidi w:val="0"/>
              <w:adjustRightInd/>
              <w:snapToGrid w:val="0"/>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p w14:paraId="37BA33E6">
            <w:pPr>
              <w:pStyle w:val="196"/>
              <w:keepNext/>
              <w:keepLines w:val="0"/>
              <w:pageBreakBefore w:val="0"/>
              <w:widowControl w:val="0"/>
              <w:tabs>
                <w:tab w:val="left" w:pos="0"/>
              </w:tabs>
              <w:kinsoku/>
              <w:wordWrap/>
              <w:overflowPunct/>
              <w:topLinePunct w:val="0"/>
              <w:autoSpaceDE/>
              <w:autoSpaceDN/>
              <w:bidi w:val="0"/>
              <w:adjustRightInd/>
              <w:snapToGrid w:val="0"/>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5170" w:type="dxa"/>
            <w:tcMar>
              <w:top w:w="85" w:type="dxa"/>
              <w:left w:w="57" w:type="dxa"/>
              <w:bottom w:w="85" w:type="dxa"/>
              <w:right w:w="57" w:type="dxa"/>
            </w:tcMar>
            <w:vAlign w:val="center"/>
          </w:tcPr>
          <w:p w14:paraId="1278E5A0">
            <w:pPr>
              <w:pStyle w:val="196"/>
              <w:keepNext/>
              <w:keepLines w:val="0"/>
              <w:pageBreakBefore w:val="0"/>
              <w:widowControl w:val="0"/>
              <w:tabs>
                <w:tab w:val="left" w:pos="0"/>
              </w:tabs>
              <w:kinsoku/>
              <w:wordWrap/>
              <w:overflowPunct/>
              <w:topLinePunct w:val="0"/>
              <w:autoSpaceDE/>
              <w:autoSpaceDN/>
              <w:bidi w:val="0"/>
              <w:adjustRightInd/>
              <w:snapToGrid w:val="0"/>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企业业绩：</w:t>
            </w:r>
            <w:r>
              <w:rPr>
                <w:rFonts w:hint="eastAsia" w:ascii="宋体" w:hAnsi="宋体" w:eastAsia="宋体" w:cs="宋体"/>
                <w:color w:val="auto"/>
                <w:sz w:val="24"/>
                <w:szCs w:val="24"/>
                <w:highlight w:val="none"/>
              </w:rPr>
              <w:t>自202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年1月1日（以</w:t>
            </w:r>
            <w:r>
              <w:rPr>
                <w:rFonts w:hint="eastAsia" w:ascii="宋体" w:hAnsi="宋体" w:cs="宋体"/>
                <w:color w:val="auto"/>
                <w:sz w:val="24"/>
                <w:szCs w:val="24"/>
                <w:highlight w:val="none"/>
                <w:lang w:val="en-US" w:eastAsia="zh-CN"/>
              </w:rPr>
              <w:t>相关</w:t>
            </w:r>
            <w:r>
              <w:rPr>
                <w:rFonts w:hint="eastAsia" w:ascii="宋体" w:hAnsi="宋体" w:eastAsia="宋体" w:cs="宋体"/>
                <w:color w:val="auto"/>
                <w:sz w:val="24"/>
                <w:szCs w:val="24"/>
                <w:highlight w:val="none"/>
                <w:lang w:val="en-US" w:eastAsia="zh-CN"/>
              </w:rPr>
              <w:t>验收证明</w:t>
            </w:r>
            <w:r>
              <w:rPr>
                <w:rFonts w:hint="eastAsia" w:ascii="宋体" w:hAnsi="宋体" w:eastAsia="宋体" w:cs="宋体"/>
                <w:color w:val="auto"/>
                <w:sz w:val="24"/>
                <w:szCs w:val="24"/>
                <w:highlight w:val="none"/>
              </w:rPr>
              <w:t>时间为准）以来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投标人承接过</w:t>
            </w: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业绩且验收合格的，提供一个得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最高得6分</w:t>
            </w:r>
            <w:r>
              <w:rPr>
                <w:rFonts w:hint="eastAsia" w:ascii="宋体" w:hAnsi="宋体" w:eastAsia="宋体" w:cs="宋体"/>
                <w:color w:val="auto"/>
                <w:sz w:val="24"/>
                <w:szCs w:val="24"/>
                <w:highlight w:val="none"/>
              </w:rPr>
              <w:t>。</w:t>
            </w:r>
          </w:p>
          <w:p w14:paraId="7647F8A2">
            <w:pPr>
              <w:pStyle w:val="196"/>
              <w:keepNext/>
              <w:keepLines w:val="0"/>
              <w:pageBreakBefore w:val="0"/>
              <w:widowControl w:val="0"/>
              <w:tabs>
                <w:tab w:val="left" w:pos="0"/>
              </w:tabs>
              <w:kinsoku/>
              <w:wordWrap/>
              <w:overflowPunct/>
              <w:topLinePunct w:val="0"/>
              <w:autoSpaceDE/>
              <w:autoSpaceDN/>
              <w:bidi w:val="0"/>
              <w:adjustRightInd/>
              <w:snapToGrid w:val="0"/>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项目负责人业绩：</w:t>
            </w:r>
            <w:r>
              <w:rPr>
                <w:rFonts w:hint="eastAsia" w:ascii="宋体" w:hAnsi="宋体" w:eastAsia="宋体" w:cs="宋体"/>
                <w:color w:val="auto"/>
                <w:sz w:val="24"/>
                <w:szCs w:val="24"/>
                <w:highlight w:val="none"/>
              </w:rPr>
              <w:t>自202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年1月1日（以</w:t>
            </w:r>
            <w:r>
              <w:rPr>
                <w:rFonts w:hint="eastAsia" w:ascii="宋体" w:hAnsi="宋体" w:cs="宋体"/>
                <w:color w:val="auto"/>
                <w:sz w:val="24"/>
                <w:szCs w:val="24"/>
                <w:highlight w:val="none"/>
                <w:lang w:val="en-US" w:eastAsia="zh-CN"/>
              </w:rPr>
              <w:t>相关</w:t>
            </w:r>
            <w:r>
              <w:rPr>
                <w:rFonts w:hint="eastAsia" w:ascii="宋体" w:hAnsi="宋体" w:eastAsia="宋体" w:cs="宋体"/>
                <w:color w:val="auto"/>
                <w:sz w:val="24"/>
                <w:szCs w:val="24"/>
                <w:highlight w:val="none"/>
                <w:lang w:val="en-US" w:eastAsia="zh-CN"/>
              </w:rPr>
              <w:t>验收证明</w:t>
            </w:r>
            <w:r>
              <w:rPr>
                <w:rFonts w:hint="eastAsia" w:ascii="宋体" w:hAnsi="宋体" w:eastAsia="宋体" w:cs="宋体"/>
                <w:color w:val="auto"/>
                <w:sz w:val="24"/>
                <w:szCs w:val="24"/>
                <w:highlight w:val="none"/>
              </w:rPr>
              <w:t>时间为准）以来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项目负责人</w:t>
            </w:r>
            <w:r>
              <w:rPr>
                <w:rFonts w:hint="eastAsia" w:ascii="宋体" w:hAnsi="宋体" w:eastAsia="宋体" w:cs="宋体"/>
                <w:color w:val="auto"/>
                <w:sz w:val="24"/>
                <w:szCs w:val="24"/>
                <w:highlight w:val="none"/>
              </w:rPr>
              <w:t>承接过</w:t>
            </w: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业绩且验收合格的，提供一个得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w:t>
            </w:r>
          </w:p>
          <w:p w14:paraId="2F757717">
            <w:pPr>
              <w:pStyle w:val="196"/>
              <w:keepNext/>
              <w:keepLines w:val="0"/>
              <w:pageBreakBefore w:val="0"/>
              <w:widowControl w:val="0"/>
              <w:tabs>
                <w:tab w:val="left" w:pos="0"/>
              </w:tabs>
              <w:kinsoku/>
              <w:wordWrap/>
              <w:overflowPunct/>
              <w:topLinePunct w:val="0"/>
              <w:autoSpaceDE/>
              <w:autoSpaceDN/>
              <w:bidi w:val="0"/>
              <w:adjustRightInd/>
              <w:snapToGrid w:val="0"/>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投标时需提供如下资料，否则不得分。</w:t>
            </w:r>
          </w:p>
          <w:p w14:paraId="37BB2845">
            <w:pPr>
              <w:pStyle w:val="196"/>
              <w:keepNext/>
              <w:keepLines w:val="0"/>
              <w:pageBreakBefore w:val="0"/>
              <w:widowControl w:val="0"/>
              <w:numPr>
                <w:ilvl w:val="0"/>
                <w:numId w:val="0"/>
              </w:numPr>
              <w:tabs>
                <w:tab w:val="left" w:pos="0"/>
              </w:tabs>
              <w:kinsoku/>
              <w:wordWrap/>
              <w:overflowPunct/>
              <w:topLinePunct w:val="0"/>
              <w:autoSpaceDE/>
              <w:autoSpaceDN/>
              <w:bidi w:val="0"/>
              <w:adjustRightInd/>
              <w:snapToGrid w:val="0"/>
              <w:ind w:left="0" w:leftChars="0" w:right="0" w:rightChars="0" w:firstLine="0" w:firstLineChars="0"/>
              <w:jc w:val="left"/>
              <w:textAlignment w:val="auto"/>
              <w:rPr>
                <w:rFonts w:hint="default"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（1）</w:t>
            </w:r>
            <w:r>
              <w:rPr>
                <w:rFonts w:hint="eastAsia" w:ascii="宋体" w:hAnsi="宋体" w:eastAsia="宋体" w:cs="宋体"/>
                <w:b w:val="0"/>
                <w:bCs w:val="0"/>
                <w:color w:val="auto"/>
                <w:sz w:val="24"/>
                <w:szCs w:val="24"/>
                <w:highlight w:val="none"/>
                <w:shd w:val="clear" w:color="auto" w:fill="FFFFFF"/>
              </w:rPr>
              <w:t>合同原件扫描件</w:t>
            </w:r>
            <w:r>
              <w:rPr>
                <w:rFonts w:hint="eastAsia" w:ascii="宋体" w:hAnsi="宋体" w:eastAsia="宋体" w:cs="宋体"/>
                <w:b w:val="0"/>
                <w:bCs w:val="0"/>
                <w:color w:val="auto"/>
                <w:sz w:val="24"/>
                <w:szCs w:val="24"/>
                <w:highlight w:val="none"/>
                <w:shd w:val="clear" w:color="auto" w:fill="FFFFFF"/>
                <w:lang w:val="en-US" w:eastAsia="zh-CN"/>
              </w:rPr>
              <w:t>加盖公章</w:t>
            </w:r>
            <w:r>
              <w:rPr>
                <w:rFonts w:hint="eastAsia" w:ascii="宋体" w:hAnsi="宋体" w:eastAsia="宋体" w:cs="宋体"/>
                <w:b w:val="0"/>
                <w:bCs w:val="0"/>
                <w:color w:val="auto"/>
                <w:sz w:val="24"/>
                <w:szCs w:val="24"/>
                <w:highlight w:val="none"/>
                <w:shd w:val="clear" w:color="auto" w:fill="FFFFFF"/>
              </w:rPr>
              <w:t>，合同须能反映项目名称、主要标的物、签订时间、单位公章或专用合同章，如不能反映的，另须提供盖有原委托单位公章的证明</w:t>
            </w:r>
            <w:r>
              <w:rPr>
                <w:rFonts w:hint="eastAsia" w:ascii="宋体" w:hAnsi="宋体" w:eastAsia="宋体" w:cs="宋体"/>
                <w:b w:val="0"/>
                <w:bCs w:val="0"/>
                <w:color w:val="auto"/>
                <w:sz w:val="24"/>
                <w:szCs w:val="24"/>
                <w:highlight w:val="none"/>
                <w:shd w:val="clear" w:color="auto" w:fill="FFFFFF"/>
                <w:lang w:val="en-US" w:eastAsia="zh-CN"/>
              </w:rPr>
              <w:t>。企业业绩合同需体现投标人名称，项目负责人业绩需体现项目负责人姓名。</w:t>
            </w:r>
          </w:p>
          <w:p w14:paraId="1C033267">
            <w:pPr>
              <w:pStyle w:val="196"/>
              <w:keepNext/>
              <w:keepLines w:val="0"/>
              <w:pageBreakBefore w:val="0"/>
              <w:widowControl w:val="0"/>
              <w:numPr>
                <w:ilvl w:val="0"/>
                <w:numId w:val="0"/>
              </w:numPr>
              <w:tabs>
                <w:tab w:val="left" w:pos="0"/>
              </w:tabs>
              <w:kinsoku/>
              <w:wordWrap/>
              <w:overflowPunct/>
              <w:topLinePunct w:val="0"/>
              <w:autoSpaceDE/>
              <w:autoSpaceDN/>
              <w:bidi w:val="0"/>
              <w:adjustRightInd/>
              <w:snapToGrid w:val="0"/>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shd w:val="clear" w:color="auto" w:fill="FFFFFF"/>
                <w:lang w:val="en-US" w:eastAsia="zh-CN"/>
              </w:rPr>
              <w:t>（2）</w:t>
            </w:r>
            <w:r>
              <w:rPr>
                <w:rFonts w:hint="eastAsia" w:ascii="宋体" w:hAnsi="宋体" w:eastAsia="宋体" w:cs="宋体"/>
                <w:color w:val="auto"/>
                <w:sz w:val="24"/>
                <w:szCs w:val="24"/>
                <w:highlight w:val="none"/>
                <w:lang w:val="en-US" w:eastAsia="zh-CN"/>
              </w:rPr>
              <w:t>项目</w:t>
            </w:r>
            <w:r>
              <w:rPr>
                <w:rFonts w:hint="eastAsia" w:ascii="宋体" w:hAnsi="宋体" w:cs="宋体"/>
                <w:color w:val="auto"/>
                <w:sz w:val="24"/>
                <w:szCs w:val="24"/>
                <w:highlight w:val="none"/>
                <w:lang w:val="en-US" w:eastAsia="zh-CN"/>
              </w:rPr>
              <w:t>相关</w:t>
            </w:r>
            <w:r>
              <w:rPr>
                <w:rFonts w:hint="eastAsia" w:ascii="宋体" w:hAnsi="宋体" w:eastAsia="宋体" w:cs="宋体"/>
                <w:color w:val="auto"/>
                <w:sz w:val="24"/>
                <w:szCs w:val="24"/>
                <w:highlight w:val="none"/>
              </w:rPr>
              <w:t>验收证明材料原件扫描件</w:t>
            </w:r>
            <w:r>
              <w:rPr>
                <w:rFonts w:hint="eastAsia" w:ascii="宋体" w:hAnsi="宋体" w:eastAsia="宋体" w:cs="宋体"/>
                <w:color w:val="auto"/>
                <w:sz w:val="24"/>
                <w:szCs w:val="24"/>
                <w:highlight w:val="none"/>
                <w:lang w:val="en-US" w:eastAsia="zh-CN"/>
              </w:rPr>
              <w:t>加盖公章</w:t>
            </w:r>
            <w:r>
              <w:rPr>
                <w:rFonts w:hint="eastAsia" w:ascii="宋体" w:hAnsi="宋体" w:eastAsia="宋体" w:cs="宋体"/>
                <w:color w:val="auto"/>
                <w:sz w:val="24"/>
                <w:szCs w:val="24"/>
                <w:highlight w:val="none"/>
              </w:rPr>
              <w:t>。</w:t>
            </w:r>
          </w:p>
          <w:p w14:paraId="658857C5">
            <w:pPr>
              <w:pStyle w:val="196"/>
              <w:keepNext/>
              <w:keepLines w:val="0"/>
              <w:pageBreakBefore w:val="0"/>
              <w:widowControl w:val="0"/>
              <w:numPr>
                <w:ilvl w:val="0"/>
                <w:numId w:val="0"/>
              </w:numPr>
              <w:tabs>
                <w:tab w:val="left" w:pos="0"/>
              </w:tabs>
              <w:kinsoku/>
              <w:wordWrap/>
              <w:overflowPunct/>
              <w:topLinePunct w:val="0"/>
              <w:autoSpaceDE/>
              <w:autoSpaceDN/>
              <w:bidi w:val="0"/>
              <w:adjustRightInd/>
              <w:snapToGrid w:val="0"/>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shd w:val="clear" w:color="auto" w:fill="FFFFFF"/>
                <w:lang w:val="en-US" w:eastAsia="zh-CN"/>
              </w:rPr>
              <w:t>（3）</w:t>
            </w:r>
            <w:r>
              <w:rPr>
                <w:rFonts w:hint="eastAsia" w:ascii="宋体" w:hAnsi="宋体" w:eastAsia="宋体" w:cs="宋体"/>
                <w:color w:val="auto"/>
                <w:sz w:val="24"/>
                <w:szCs w:val="24"/>
                <w:highlight w:val="none"/>
                <w:lang w:val="en-US" w:eastAsia="zh-CN"/>
              </w:rPr>
              <w:t>企业业绩与项目负责人业绩为同一业绩时不重复计分。</w:t>
            </w:r>
          </w:p>
        </w:tc>
      </w:tr>
    </w:tbl>
    <w:p w14:paraId="5EA32522">
      <w:pPr>
        <w:pStyle w:val="345"/>
        <w:spacing w:line="240" w:lineRule="auto"/>
        <w:ind w:firstLine="640"/>
        <w:rPr>
          <w:color w:val="auto"/>
          <w:highlight w:val="none"/>
        </w:rPr>
      </w:pPr>
    </w:p>
    <w:p w14:paraId="3EBB6C06">
      <w:pPr>
        <w:keepNext/>
        <w:jc w:val="center"/>
        <w:outlineLvl w:val="0"/>
        <w:rPr>
          <w:rFonts w:hint="eastAsia" w:ascii="宋体" w:hAnsi="宋体" w:eastAsia="宋体" w:cs="宋体"/>
          <w:b/>
          <w:color w:val="auto"/>
          <w:sz w:val="44"/>
          <w:szCs w:val="28"/>
          <w:highlight w:val="none"/>
        </w:rPr>
      </w:pPr>
      <w:r>
        <w:rPr>
          <w:rFonts w:hint="eastAsia" w:ascii="宋体" w:hAnsi="宋体" w:eastAsia="宋体" w:cs="宋体"/>
          <w:b/>
          <w:color w:val="auto"/>
          <w:sz w:val="44"/>
          <w:szCs w:val="28"/>
          <w:highlight w:val="none"/>
        </w:rPr>
        <w:br w:type="page" w:clear="all"/>
      </w:r>
    </w:p>
    <w:p w14:paraId="057FA8B1">
      <w:pPr>
        <w:keepNext/>
        <w:numPr>
          <w:ilvl w:val="0"/>
          <w:numId w:val="7"/>
        </w:numPr>
        <w:jc w:val="center"/>
        <w:outlineLvl w:val="0"/>
        <w:rPr>
          <w:rFonts w:hint="eastAsia" w:ascii="宋体" w:hAnsi="宋体" w:eastAsia="宋体" w:cs="宋体"/>
          <w:b/>
          <w:color w:val="auto"/>
          <w:sz w:val="44"/>
          <w:szCs w:val="28"/>
          <w:highlight w:val="none"/>
        </w:rPr>
      </w:pPr>
      <w:r>
        <w:rPr>
          <w:rFonts w:hint="eastAsia" w:ascii="宋体" w:hAnsi="宋体" w:eastAsia="宋体" w:cs="宋体"/>
          <w:b/>
          <w:color w:val="auto"/>
          <w:sz w:val="44"/>
          <w:szCs w:val="28"/>
          <w:highlight w:val="none"/>
        </w:rPr>
        <w:t xml:space="preserve"> </w:t>
      </w:r>
      <w:bookmarkEnd w:id="146"/>
      <w:bookmarkEnd w:id="147"/>
      <w:bookmarkEnd w:id="151"/>
      <w:r>
        <w:rPr>
          <w:rFonts w:hint="eastAsia" w:ascii="宋体" w:hAnsi="宋体" w:cs="宋体"/>
          <w:b/>
          <w:color w:val="auto"/>
          <w:sz w:val="44"/>
          <w:szCs w:val="28"/>
          <w:highlight w:val="none"/>
          <w:lang w:val="en-US" w:eastAsia="zh-CN"/>
        </w:rPr>
        <w:t>响应</w:t>
      </w:r>
      <w:r>
        <w:rPr>
          <w:rFonts w:hint="eastAsia" w:ascii="宋体" w:hAnsi="宋体" w:eastAsia="宋体" w:cs="宋体"/>
          <w:b/>
          <w:color w:val="auto"/>
          <w:sz w:val="44"/>
          <w:szCs w:val="28"/>
          <w:highlight w:val="none"/>
        </w:rPr>
        <w:t>文件格式</w:t>
      </w:r>
      <w:bookmarkStart w:id="152" w:name="_Hlt26671244"/>
      <w:bookmarkEnd w:id="152"/>
      <w:bookmarkStart w:id="153" w:name="_Hlt26955039"/>
      <w:bookmarkEnd w:id="153"/>
      <w:bookmarkStart w:id="154" w:name="_Toc26554094"/>
      <w:bookmarkStart w:id="155" w:name="_Toc49090576"/>
      <w:bookmarkStart w:id="156" w:name="_Toc120614282"/>
    </w:p>
    <w:p w14:paraId="6FF14242">
      <w:pPr>
        <w:jc w:val="both"/>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t xml:space="preserve">                             </w:t>
      </w:r>
    </w:p>
    <w:p w14:paraId="1EFFA151">
      <w:pPr>
        <w:jc w:val="center"/>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t xml:space="preserve">                                 </w:t>
      </w:r>
    </w:p>
    <w:p w14:paraId="0111EB1C">
      <w:pPr>
        <w:jc w:val="center"/>
        <w:rPr>
          <w:rFonts w:hint="eastAsia" w:ascii="宋体" w:hAnsi="宋体" w:eastAsia="宋体" w:cs="宋体"/>
          <w:b/>
          <w:color w:val="auto"/>
          <w:sz w:val="72"/>
          <w:highlight w:val="none"/>
        </w:rPr>
      </w:pPr>
      <w:r>
        <w:rPr>
          <w:rFonts w:hint="eastAsia" w:ascii="宋体" w:hAnsi="宋体" w:cs="宋体"/>
          <w:b/>
          <w:color w:val="auto"/>
          <w:sz w:val="72"/>
          <w:highlight w:val="none"/>
          <w:lang w:val="en-US" w:eastAsia="zh-CN"/>
        </w:rPr>
        <w:t>响  应</w:t>
      </w:r>
      <w:r>
        <w:rPr>
          <w:rFonts w:hint="eastAsia" w:ascii="宋体" w:hAnsi="宋体" w:eastAsia="宋体" w:cs="宋体"/>
          <w:b/>
          <w:color w:val="auto"/>
          <w:sz w:val="72"/>
          <w:highlight w:val="none"/>
        </w:rPr>
        <w:t xml:space="preserve">  文  件</w:t>
      </w:r>
    </w:p>
    <w:p w14:paraId="5E277A21">
      <w:pPr>
        <w:jc w:val="center"/>
        <w:rPr>
          <w:rFonts w:hint="eastAsia" w:ascii="宋体" w:hAnsi="宋体" w:eastAsia="宋体" w:cs="宋体"/>
          <w:b/>
          <w:color w:val="auto"/>
          <w:sz w:val="72"/>
          <w:highlight w:val="none"/>
        </w:rPr>
      </w:pPr>
    </w:p>
    <w:p w14:paraId="6C949570">
      <w:pPr>
        <w:jc w:val="center"/>
        <w:rPr>
          <w:rFonts w:hint="eastAsia" w:ascii="宋体" w:hAnsi="宋体" w:eastAsia="宋体" w:cs="宋体"/>
          <w:b/>
          <w:color w:val="auto"/>
          <w:sz w:val="36"/>
          <w:highlight w:val="none"/>
        </w:rPr>
      </w:pPr>
    </w:p>
    <w:p w14:paraId="0B74ACD2">
      <w:pPr>
        <w:jc w:val="center"/>
        <w:rPr>
          <w:rFonts w:hint="eastAsia" w:ascii="宋体" w:hAnsi="宋体" w:eastAsia="宋体" w:cs="宋体"/>
          <w:b/>
          <w:color w:val="auto"/>
          <w:sz w:val="36"/>
          <w:highlight w:val="none"/>
        </w:rPr>
      </w:pPr>
    </w:p>
    <w:p w14:paraId="1D0FC0A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6"/>
          <w:highlight w:val="none"/>
        </w:rPr>
      </w:pPr>
    </w:p>
    <w:p w14:paraId="4C6F1980">
      <w:pPr>
        <w:keepNext w:val="0"/>
        <w:keepLines w:val="0"/>
        <w:pageBreakBefore w:val="0"/>
        <w:widowControl w:val="0"/>
        <w:kinsoku/>
        <w:wordWrap/>
        <w:overflowPunct/>
        <w:topLinePunct w:val="0"/>
        <w:autoSpaceDE/>
        <w:autoSpaceDN/>
        <w:bidi w:val="0"/>
        <w:adjustRightInd/>
        <w:snapToGrid/>
        <w:spacing w:line="360" w:lineRule="auto"/>
        <w:ind w:firstLine="723" w:firstLineChars="200"/>
        <w:textAlignment w:val="auto"/>
        <w:rPr>
          <w:rFonts w:hint="eastAsia" w:ascii="宋体" w:hAnsi="宋体" w:eastAsia="宋体" w:cs="宋体"/>
          <w:b/>
          <w:color w:val="auto"/>
          <w:sz w:val="36"/>
          <w:highlight w:val="none"/>
          <w:u w:val="single"/>
          <w:lang w:val="en-US" w:eastAsia="zh-CN"/>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lang w:val="en-US" w:eastAsia="zh-CN"/>
        </w:rPr>
        <w:t xml:space="preserve">                        </w:t>
      </w:r>
    </w:p>
    <w:p w14:paraId="34EE2201">
      <w:pPr>
        <w:keepNext w:val="0"/>
        <w:keepLines w:val="0"/>
        <w:pageBreakBefore w:val="0"/>
        <w:widowControl w:val="0"/>
        <w:kinsoku/>
        <w:wordWrap/>
        <w:overflowPunct/>
        <w:topLinePunct w:val="0"/>
        <w:autoSpaceDE/>
        <w:autoSpaceDN/>
        <w:bidi w:val="0"/>
        <w:adjustRightInd/>
        <w:snapToGrid/>
        <w:spacing w:line="360" w:lineRule="auto"/>
        <w:ind w:firstLine="1446" w:firstLineChars="400"/>
        <w:textAlignment w:val="auto"/>
        <w:rPr>
          <w:rFonts w:hint="eastAsia" w:ascii="宋体" w:hAnsi="宋体" w:eastAsia="宋体" w:cs="宋体"/>
          <w:b/>
          <w:color w:val="auto"/>
          <w:sz w:val="36"/>
          <w:highlight w:val="none"/>
        </w:rPr>
      </w:pPr>
    </w:p>
    <w:p w14:paraId="753979F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6"/>
          <w:highlight w:val="none"/>
          <w:u w:val="single"/>
          <w:lang w:val="en-US" w:eastAsia="zh-CN"/>
        </w:rPr>
      </w:pPr>
      <w:r>
        <w:rPr>
          <w:rFonts w:hint="eastAsia" w:ascii="宋体" w:hAnsi="宋体" w:eastAsia="宋体" w:cs="宋体"/>
          <w:b/>
          <w:color w:val="auto"/>
          <w:sz w:val="36"/>
          <w:highlight w:val="none"/>
        </w:rPr>
        <w:t xml:space="preserve">    </w:t>
      </w:r>
      <w:r>
        <w:rPr>
          <w:rFonts w:hint="eastAsia" w:ascii="宋体" w:hAnsi="宋体" w:cs="宋体"/>
          <w:b/>
          <w:color w:val="auto"/>
          <w:sz w:val="36"/>
          <w:highlight w:val="none"/>
          <w:lang w:val="en-US" w:eastAsia="zh-CN"/>
        </w:rPr>
        <w:t>供应商</w:t>
      </w:r>
      <w:r>
        <w:rPr>
          <w:rFonts w:hint="eastAsia" w:ascii="宋体" w:hAnsi="宋体" w:eastAsia="宋体" w:cs="宋体"/>
          <w:b/>
          <w:color w:val="auto"/>
          <w:sz w:val="36"/>
          <w:highlight w:val="none"/>
        </w:rPr>
        <w:t xml:space="preserve">名称 </w:t>
      </w:r>
      <w:r>
        <w:rPr>
          <w:rFonts w:hint="eastAsia" w:ascii="宋体" w:hAnsi="宋体" w:eastAsia="宋体" w:cs="宋体"/>
          <w:b/>
          <w:color w:val="auto"/>
          <w:sz w:val="36"/>
          <w:highlight w:val="none"/>
          <w:lang w:eastAsia="zh-CN"/>
        </w:rPr>
        <w:t>（</w:t>
      </w:r>
      <w:r>
        <w:rPr>
          <w:rFonts w:hint="eastAsia" w:ascii="宋体" w:hAnsi="宋体" w:eastAsia="宋体" w:cs="宋体"/>
          <w:b/>
          <w:color w:val="auto"/>
          <w:sz w:val="36"/>
          <w:highlight w:val="none"/>
          <w:lang w:val="en-US" w:eastAsia="zh-CN"/>
        </w:rPr>
        <w:t>公章</w:t>
      </w:r>
      <w:r>
        <w:rPr>
          <w:rFonts w:hint="eastAsia" w:ascii="宋体" w:hAnsi="宋体" w:eastAsia="宋体" w:cs="宋体"/>
          <w:b/>
          <w:color w:val="auto"/>
          <w:sz w:val="36"/>
          <w:highlight w:val="none"/>
          <w:lang w:eastAsia="zh-CN"/>
        </w:rPr>
        <w:t>）</w:t>
      </w:r>
      <w:r>
        <w:rPr>
          <w:rFonts w:hint="eastAsia" w:ascii="宋体" w:hAnsi="宋体" w:eastAsia="宋体" w:cs="宋体"/>
          <w:b/>
          <w:color w:val="auto"/>
          <w:sz w:val="36"/>
          <w:highlight w:val="none"/>
        </w:rPr>
        <w:t>：</w:t>
      </w:r>
      <w:r>
        <w:rPr>
          <w:rFonts w:hint="eastAsia" w:ascii="宋体" w:hAnsi="宋体" w:eastAsia="宋体" w:cs="宋体"/>
          <w:b/>
          <w:color w:val="auto"/>
          <w:sz w:val="36"/>
          <w:highlight w:val="none"/>
          <w:u w:val="single"/>
          <w:lang w:val="en-US" w:eastAsia="zh-CN"/>
        </w:rPr>
        <w:t xml:space="preserve">                </w:t>
      </w:r>
    </w:p>
    <w:p w14:paraId="480904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6"/>
          <w:highlight w:val="none"/>
        </w:rPr>
      </w:pPr>
    </w:p>
    <w:p w14:paraId="4D9AC2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6"/>
          <w:highlight w:val="none"/>
          <w:u w:val="none"/>
          <w:lang w:val="en-US" w:eastAsia="zh-CN"/>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none"/>
          <w:lang w:val="en-US" w:eastAsia="zh-CN"/>
        </w:rPr>
        <w:t xml:space="preserve"> 年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none"/>
          <w:lang w:val="en-US" w:eastAsia="zh-CN"/>
        </w:rPr>
        <w:t xml:space="preserve"> 月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none"/>
          <w:lang w:val="en-US" w:eastAsia="zh-CN"/>
        </w:rPr>
        <w:t xml:space="preserve"> 日</w:t>
      </w:r>
    </w:p>
    <w:p w14:paraId="4741B9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6"/>
          <w:highlight w:val="none"/>
        </w:rPr>
      </w:pPr>
    </w:p>
    <w:p w14:paraId="452FD756">
      <w:pPr>
        <w:pStyle w:val="16"/>
        <w:numPr>
          <w:ilvl w:val="0"/>
          <w:numId w:val="0"/>
        </w:numPr>
        <w:rPr>
          <w:rFonts w:hint="eastAsia" w:ascii="宋体" w:hAnsi="宋体" w:eastAsia="宋体" w:cs="宋体"/>
          <w:color w:val="auto"/>
          <w:highlight w:val="none"/>
        </w:rPr>
      </w:pPr>
    </w:p>
    <w:p w14:paraId="01F3E95C">
      <w:pPr>
        <w:ind w:firstLine="1446"/>
        <w:jc w:val="center"/>
        <w:rPr>
          <w:rFonts w:hint="eastAsia" w:ascii="宋体" w:hAnsi="宋体" w:eastAsia="宋体" w:cs="宋体"/>
          <w:b/>
          <w:color w:val="auto"/>
          <w:sz w:val="36"/>
          <w:highlight w:val="none"/>
        </w:rPr>
      </w:pPr>
    </w:p>
    <w:p w14:paraId="59F9BB14">
      <w:pPr>
        <w:pStyle w:val="16"/>
        <w:rPr>
          <w:rFonts w:hint="eastAsia" w:ascii="宋体" w:hAnsi="宋体" w:eastAsia="宋体" w:cs="宋体"/>
          <w:b/>
          <w:color w:val="auto"/>
          <w:sz w:val="36"/>
          <w:highlight w:val="none"/>
        </w:rPr>
      </w:pPr>
    </w:p>
    <w:p w14:paraId="375F7001">
      <w:pPr>
        <w:pStyle w:val="16"/>
        <w:rPr>
          <w:rFonts w:hint="eastAsia" w:ascii="宋体" w:hAnsi="宋体" w:eastAsia="宋体" w:cs="宋体"/>
          <w:b/>
          <w:color w:val="auto"/>
          <w:sz w:val="36"/>
          <w:highlight w:val="none"/>
        </w:rPr>
      </w:pPr>
    </w:p>
    <w:p w14:paraId="3F37E16A">
      <w:pPr>
        <w:pStyle w:val="16"/>
        <w:rPr>
          <w:rFonts w:hint="eastAsia" w:ascii="宋体" w:hAnsi="宋体" w:eastAsia="宋体" w:cs="宋体"/>
          <w:b/>
          <w:color w:val="auto"/>
          <w:sz w:val="36"/>
          <w:highlight w:val="none"/>
        </w:rPr>
      </w:pPr>
    </w:p>
    <w:p w14:paraId="0781B393">
      <w:pPr>
        <w:pStyle w:val="16"/>
        <w:rPr>
          <w:rFonts w:hint="eastAsia" w:ascii="宋体" w:hAnsi="宋体" w:eastAsia="宋体" w:cs="宋体"/>
          <w:b/>
          <w:color w:val="auto"/>
          <w:sz w:val="36"/>
          <w:highlight w:val="none"/>
        </w:rPr>
      </w:pPr>
    </w:p>
    <w:p w14:paraId="17BE40BE">
      <w:pPr>
        <w:pStyle w:val="16"/>
        <w:rPr>
          <w:rFonts w:hint="eastAsia" w:ascii="宋体" w:hAnsi="宋体" w:eastAsia="宋体" w:cs="宋体"/>
          <w:b/>
          <w:color w:val="auto"/>
          <w:sz w:val="36"/>
          <w:highlight w:val="none"/>
        </w:rPr>
      </w:pPr>
    </w:p>
    <w:p w14:paraId="0335E3CB">
      <w:pPr>
        <w:pStyle w:val="16"/>
        <w:rPr>
          <w:rFonts w:hint="eastAsia" w:ascii="宋体" w:hAnsi="宋体" w:eastAsia="宋体" w:cs="宋体"/>
          <w:b/>
          <w:color w:val="auto"/>
          <w:sz w:val="36"/>
          <w:highlight w:val="none"/>
        </w:rPr>
      </w:pPr>
    </w:p>
    <w:p w14:paraId="6EBB5610">
      <w:pPr>
        <w:pStyle w:val="16"/>
        <w:rPr>
          <w:rFonts w:hint="eastAsia" w:ascii="宋体" w:hAnsi="宋体" w:eastAsia="宋体" w:cs="宋体"/>
          <w:b/>
          <w:color w:val="auto"/>
          <w:sz w:val="36"/>
          <w:highlight w:val="none"/>
        </w:rPr>
      </w:pPr>
    </w:p>
    <w:p w14:paraId="67E2E882">
      <w:pPr>
        <w:pStyle w:val="16"/>
        <w:rPr>
          <w:rFonts w:hint="eastAsia" w:ascii="宋体" w:hAnsi="宋体" w:eastAsia="宋体" w:cs="宋体"/>
          <w:b/>
          <w:color w:val="auto"/>
          <w:sz w:val="36"/>
          <w:highlight w:val="none"/>
        </w:rPr>
      </w:pPr>
    </w:p>
    <w:p w14:paraId="635EBB0C">
      <w:pPr>
        <w:ind w:firstLine="3209" w:firstLineChars="888"/>
        <w:jc w:val="both"/>
        <w:rPr>
          <w:rFonts w:hint="eastAsia" w:ascii="宋体" w:hAnsi="宋体" w:eastAsia="宋体" w:cs="宋体"/>
          <w:b/>
          <w:color w:val="auto"/>
          <w:sz w:val="72"/>
          <w:szCs w:val="21"/>
          <w:highlight w:val="none"/>
        </w:rPr>
      </w:pPr>
      <w:r>
        <w:rPr>
          <w:rFonts w:hint="eastAsia" w:ascii="宋体" w:hAnsi="宋体" w:cs="宋体"/>
          <w:b/>
          <w:color w:val="auto"/>
          <w:sz w:val="36"/>
          <w:highlight w:val="none"/>
          <w:lang w:val="en-US" w:eastAsia="zh-CN"/>
        </w:rPr>
        <w:t>响应</w:t>
      </w:r>
      <w:r>
        <w:rPr>
          <w:rFonts w:hint="eastAsia" w:ascii="宋体" w:hAnsi="宋体" w:eastAsia="宋体" w:cs="宋体"/>
          <w:b/>
          <w:color w:val="auto"/>
          <w:sz w:val="36"/>
          <w:highlight w:val="none"/>
        </w:rPr>
        <w:t>文件目录</w:t>
      </w:r>
    </w:p>
    <w:p w14:paraId="5C0EDE7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i/>
          <w:iCs w:val="0"/>
          <w:color w:val="auto"/>
          <w:sz w:val="24"/>
          <w:highlight w:val="none"/>
          <w:u w:val="single"/>
        </w:rPr>
      </w:pPr>
      <w:r>
        <w:rPr>
          <w:rFonts w:hint="eastAsia" w:ascii="宋体" w:hAnsi="宋体" w:eastAsia="宋体" w:cs="宋体"/>
          <w:i/>
          <w:iCs w:val="0"/>
          <w:color w:val="auto"/>
          <w:sz w:val="24"/>
          <w:highlight w:val="none"/>
          <w:u w:val="single"/>
          <w:lang w:val="en-US" w:eastAsia="zh-CN"/>
        </w:rPr>
        <w:t>1、</w:t>
      </w:r>
      <w:r>
        <w:rPr>
          <w:rFonts w:hint="eastAsia" w:ascii="宋体" w:hAnsi="宋体" w:eastAsia="宋体" w:cs="宋体"/>
          <w:i/>
          <w:iCs w:val="0"/>
          <w:color w:val="auto"/>
          <w:sz w:val="24"/>
          <w:highlight w:val="none"/>
          <w:u w:val="single"/>
        </w:rPr>
        <w:t>法人或者其他组织的营业执照等证明文件，自然人的身份证明</w:t>
      </w:r>
    </w:p>
    <w:p w14:paraId="12E9035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i/>
          <w:iCs w:val="0"/>
          <w:color w:val="auto"/>
          <w:sz w:val="24"/>
          <w:highlight w:val="none"/>
          <w:u w:val="single"/>
        </w:rPr>
      </w:pPr>
      <w:r>
        <w:rPr>
          <w:rFonts w:hint="eastAsia" w:ascii="宋体" w:hAnsi="宋体" w:eastAsia="宋体" w:cs="宋体"/>
          <w:i/>
          <w:iCs w:val="0"/>
          <w:color w:val="auto"/>
          <w:sz w:val="24"/>
          <w:highlight w:val="none"/>
          <w:u w:val="single"/>
          <w:lang w:val="en-US" w:eastAsia="zh-CN"/>
        </w:rPr>
        <w:t>2、</w:t>
      </w:r>
      <w:r>
        <w:rPr>
          <w:rFonts w:hint="eastAsia" w:ascii="宋体" w:hAnsi="宋体" w:eastAsia="宋体" w:cs="宋体"/>
          <w:i/>
          <w:iCs w:val="0"/>
          <w:color w:val="auto"/>
          <w:sz w:val="24"/>
          <w:highlight w:val="none"/>
          <w:u w:val="single"/>
        </w:rPr>
        <w:t>上一年度的财务状况报表（</w:t>
      </w:r>
      <w:r>
        <w:rPr>
          <w:rFonts w:hint="eastAsia" w:ascii="宋体" w:hAnsi="宋体" w:eastAsia="宋体" w:cs="宋体"/>
          <w:bCs/>
          <w:i/>
          <w:iCs w:val="0"/>
          <w:color w:val="auto"/>
          <w:sz w:val="24"/>
          <w:szCs w:val="21"/>
          <w:highlight w:val="none"/>
          <w:u w:val="single"/>
        </w:rPr>
        <w:t>至少提供资产负债表、利润表、现金流量表，投标人成立不满一年无需提供</w:t>
      </w:r>
      <w:r>
        <w:rPr>
          <w:rFonts w:hint="eastAsia" w:ascii="宋体" w:hAnsi="宋体" w:eastAsia="宋体" w:cs="宋体"/>
          <w:i/>
          <w:iCs w:val="0"/>
          <w:color w:val="auto"/>
          <w:sz w:val="24"/>
          <w:highlight w:val="none"/>
          <w:u w:val="single"/>
        </w:rPr>
        <w:t>）</w:t>
      </w:r>
    </w:p>
    <w:p w14:paraId="2F4B2E8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i/>
          <w:iCs w:val="0"/>
          <w:color w:val="auto"/>
          <w:sz w:val="24"/>
          <w:highlight w:val="none"/>
          <w:u w:val="single"/>
        </w:rPr>
      </w:pPr>
      <w:r>
        <w:rPr>
          <w:rFonts w:hint="eastAsia" w:ascii="宋体" w:hAnsi="宋体" w:eastAsia="宋体" w:cs="宋体"/>
          <w:i/>
          <w:iCs w:val="0"/>
          <w:color w:val="auto"/>
          <w:sz w:val="24"/>
          <w:highlight w:val="none"/>
          <w:u w:val="single"/>
          <w:lang w:val="en-US" w:eastAsia="zh-CN"/>
        </w:rPr>
        <w:t>3、</w:t>
      </w:r>
      <w:r>
        <w:rPr>
          <w:rFonts w:hint="eastAsia" w:ascii="宋体" w:hAnsi="宋体" w:eastAsia="宋体" w:cs="宋体"/>
          <w:i/>
          <w:iCs w:val="0"/>
          <w:color w:val="auto"/>
          <w:sz w:val="24"/>
          <w:highlight w:val="none"/>
          <w:u w:val="single"/>
        </w:rPr>
        <w:t>依法缴纳税收和社会保障资金的相关材料（提供提交投标文件截止时间前一年内至少一个月依法缴纳税收及缴纳社会保障资金的证明材料。供应商依法享受缓缴、免缴税收、社会保障资金的提供证明材料）</w:t>
      </w:r>
    </w:p>
    <w:p w14:paraId="485903C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i/>
          <w:iCs w:val="0"/>
          <w:color w:val="auto"/>
          <w:sz w:val="24"/>
          <w:highlight w:val="none"/>
          <w:u w:val="single"/>
        </w:rPr>
      </w:pPr>
      <w:r>
        <w:rPr>
          <w:rFonts w:hint="eastAsia" w:ascii="宋体" w:hAnsi="宋体" w:eastAsia="宋体" w:cs="宋体"/>
          <w:i/>
          <w:iCs w:val="0"/>
          <w:color w:val="auto"/>
          <w:sz w:val="24"/>
          <w:highlight w:val="none"/>
          <w:u w:val="single"/>
          <w:lang w:val="en-US" w:eastAsia="zh-CN"/>
        </w:rPr>
        <w:t>4、</w:t>
      </w:r>
      <w:r>
        <w:rPr>
          <w:rFonts w:hint="eastAsia" w:ascii="宋体" w:hAnsi="宋体" w:eastAsia="宋体" w:cs="宋体"/>
          <w:i/>
          <w:iCs w:val="0"/>
          <w:color w:val="auto"/>
          <w:sz w:val="24"/>
          <w:highlight w:val="none"/>
          <w:u w:val="single"/>
        </w:rPr>
        <w:t>具备履行合同所必需的设备和专业技术能力的书面声明</w:t>
      </w:r>
    </w:p>
    <w:p w14:paraId="65C0ED9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i/>
          <w:iCs w:val="0"/>
          <w:color w:val="auto"/>
          <w:sz w:val="24"/>
          <w:highlight w:val="none"/>
          <w:u w:val="single"/>
        </w:rPr>
      </w:pPr>
      <w:r>
        <w:rPr>
          <w:rFonts w:hint="eastAsia" w:ascii="宋体" w:hAnsi="宋体" w:eastAsia="宋体" w:cs="宋体"/>
          <w:i/>
          <w:iCs w:val="0"/>
          <w:color w:val="auto"/>
          <w:sz w:val="24"/>
          <w:highlight w:val="none"/>
          <w:u w:val="single"/>
          <w:lang w:val="en-US" w:eastAsia="zh-CN"/>
        </w:rPr>
        <w:t>5、</w:t>
      </w:r>
      <w:r>
        <w:rPr>
          <w:rFonts w:hint="eastAsia" w:ascii="宋体" w:hAnsi="宋体" w:eastAsia="宋体" w:cs="宋体"/>
          <w:i/>
          <w:iCs w:val="0"/>
          <w:color w:val="auto"/>
          <w:sz w:val="24"/>
          <w:highlight w:val="none"/>
          <w:u w:val="single"/>
        </w:rPr>
        <w:t>参加政府采购活动前 3 年内在经营活动中没有重大违法记录的书面声明</w:t>
      </w:r>
    </w:p>
    <w:p w14:paraId="662047EE">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i/>
          <w:iCs/>
          <w:color w:val="auto"/>
          <w:sz w:val="24"/>
          <w:highlight w:val="none"/>
          <w:u w:val="single"/>
          <w:lang w:val="en-US" w:eastAsia="zh-CN"/>
        </w:rPr>
      </w:pPr>
      <w:r>
        <w:rPr>
          <w:rFonts w:hint="eastAsia" w:ascii="宋体" w:hAnsi="宋体" w:cs="宋体"/>
          <w:i/>
          <w:iCs/>
          <w:color w:val="auto"/>
          <w:sz w:val="24"/>
          <w:highlight w:val="none"/>
          <w:u w:val="single"/>
          <w:lang w:val="en-US" w:eastAsia="zh-CN"/>
        </w:rPr>
        <w:t>6、</w:t>
      </w:r>
      <w:r>
        <w:rPr>
          <w:rFonts w:hint="eastAsia" w:ascii="宋体" w:hAnsi="宋体" w:eastAsia="宋体" w:cs="宋体"/>
          <w:i/>
          <w:iCs/>
          <w:color w:val="auto"/>
          <w:sz w:val="24"/>
          <w:highlight w:val="none"/>
          <w:u w:val="single"/>
        </w:rPr>
        <w:t>法律、行政法规规定的其他条件</w:t>
      </w:r>
    </w:p>
    <w:p w14:paraId="0888651F">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i/>
          <w:iCs w:val="0"/>
          <w:color w:val="auto"/>
          <w:sz w:val="24"/>
          <w:highlight w:val="none"/>
          <w:u w:val="single"/>
        </w:rPr>
      </w:pPr>
      <w:r>
        <w:rPr>
          <w:rFonts w:hint="eastAsia" w:ascii="宋体" w:hAnsi="宋体" w:cs="宋体"/>
          <w:i/>
          <w:iCs w:val="0"/>
          <w:color w:val="auto"/>
          <w:sz w:val="24"/>
          <w:highlight w:val="none"/>
          <w:u w:val="single"/>
          <w:lang w:val="en-US" w:eastAsia="zh-CN"/>
        </w:rPr>
        <w:t>7</w:t>
      </w:r>
      <w:r>
        <w:rPr>
          <w:rFonts w:hint="eastAsia" w:ascii="宋体" w:hAnsi="宋体" w:eastAsia="宋体" w:cs="宋体"/>
          <w:i/>
          <w:iCs w:val="0"/>
          <w:color w:val="auto"/>
          <w:sz w:val="24"/>
          <w:highlight w:val="none"/>
          <w:u w:val="single"/>
          <w:lang w:val="en-US" w:eastAsia="zh-CN"/>
        </w:rPr>
        <w:t>、单</w:t>
      </w:r>
      <w:r>
        <w:rPr>
          <w:rFonts w:hint="eastAsia" w:ascii="宋体" w:hAnsi="宋体" w:eastAsia="宋体" w:cs="宋体"/>
          <w:i/>
          <w:iCs w:val="0"/>
          <w:color w:val="auto"/>
          <w:sz w:val="24"/>
          <w:szCs w:val="24"/>
          <w:highlight w:val="none"/>
          <w:u w:val="single"/>
        </w:rPr>
        <w:t>位负责人为同一人或者存在直接控股、管理关系的不同供应商，不得参加同一合同项下的政府采购活动证明文件</w:t>
      </w:r>
    </w:p>
    <w:p w14:paraId="2EE16917">
      <w:pPr>
        <w:keepNext w:val="0"/>
        <w:keepLines w:val="0"/>
        <w:pageBreakBefore w:val="0"/>
        <w:widowControl w:val="0"/>
        <w:tabs>
          <w:tab w:val="left" w:pos="851"/>
          <w:tab w:val="left" w:pos="9000"/>
        </w:tabs>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i/>
          <w:iCs w:val="0"/>
          <w:color w:val="auto"/>
          <w:sz w:val="24"/>
          <w:szCs w:val="24"/>
          <w:highlight w:val="none"/>
          <w:u w:val="single"/>
        </w:rPr>
      </w:pPr>
      <w:r>
        <w:rPr>
          <w:rFonts w:hint="eastAsia" w:ascii="宋体" w:hAnsi="宋体" w:cs="宋体"/>
          <w:i/>
          <w:iCs w:val="0"/>
          <w:color w:val="auto"/>
          <w:sz w:val="24"/>
          <w:highlight w:val="none"/>
          <w:u w:val="single"/>
          <w:lang w:val="en-US" w:eastAsia="zh-CN"/>
        </w:rPr>
        <w:t>8</w:t>
      </w:r>
      <w:r>
        <w:rPr>
          <w:rFonts w:hint="eastAsia" w:ascii="宋体" w:hAnsi="宋体" w:eastAsia="宋体" w:cs="宋体"/>
          <w:i/>
          <w:iCs w:val="0"/>
          <w:color w:val="auto"/>
          <w:sz w:val="24"/>
          <w:highlight w:val="none"/>
          <w:u w:val="single"/>
          <w:lang w:val="en-US" w:eastAsia="zh-CN"/>
        </w:rPr>
        <w:t>、</w:t>
      </w:r>
      <w:r>
        <w:rPr>
          <w:rFonts w:hint="eastAsia" w:ascii="宋体" w:hAnsi="宋体" w:eastAsia="宋体" w:cs="宋体"/>
          <w:i/>
          <w:iCs w:val="0"/>
          <w:color w:val="auto"/>
          <w:sz w:val="24"/>
          <w:highlight w:val="none"/>
          <w:u w:val="single"/>
        </w:rPr>
        <w:t>未被“信用中国”网站（www.creditchina.gov.cn）列入失信被执行人、重大税收违法案件当事人名单、政府采购严重失信行为记录名单</w:t>
      </w:r>
    </w:p>
    <w:p w14:paraId="03863A6F">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i/>
          <w:iCs w:val="0"/>
          <w:color w:val="auto"/>
          <w:sz w:val="24"/>
          <w:highlight w:val="none"/>
          <w:u w:val="single"/>
          <w:lang w:val="en-US" w:eastAsia="zh-CN"/>
        </w:rPr>
      </w:pPr>
      <w:r>
        <w:rPr>
          <w:rFonts w:hint="eastAsia" w:ascii="宋体" w:hAnsi="宋体" w:cs="宋体"/>
          <w:i/>
          <w:iCs w:val="0"/>
          <w:color w:val="auto"/>
          <w:sz w:val="24"/>
          <w:highlight w:val="none"/>
          <w:u w:val="single"/>
          <w:lang w:val="en-US" w:eastAsia="zh-CN"/>
        </w:rPr>
        <w:t>9</w:t>
      </w:r>
      <w:r>
        <w:rPr>
          <w:rFonts w:hint="eastAsia" w:ascii="宋体" w:hAnsi="宋体" w:eastAsia="宋体" w:cs="宋体"/>
          <w:i/>
          <w:iCs w:val="0"/>
          <w:color w:val="auto"/>
          <w:sz w:val="24"/>
          <w:highlight w:val="none"/>
          <w:u w:val="single"/>
          <w:lang w:val="en-US" w:eastAsia="zh-CN"/>
        </w:rPr>
        <w:t>、</w:t>
      </w:r>
      <w:r>
        <w:rPr>
          <w:rFonts w:hint="eastAsia" w:ascii="宋体" w:hAnsi="宋体" w:eastAsia="宋体" w:cs="宋体"/>
          <w:i/>
          <w:iCs w:val="0"/>
          <w:color w:val="auto"/>
          <w:sz w:val="24"/>
          <w:highlight w:val="none"/>
          <w:u w:val="single"/>
        </w:rPr>
        <w:t>特定资格</w:t>
      </w:r>
      <w:r>
        <w:rPr>
          <w:rFonts w:hint="eastAsia" w:ascii="宋体" w:hAnsi="宋体" w:eastAsia="宋体" w:cs="宋体"/>
          <w:i/>
          <w:iCs w:val="0"/>
          <w:color w:val="auto"/>
          <w:sz w:val="24"/>
          <w:highlight w:val="none"/>
          <w:u w:val="single"/>
          <w:lang w:val="en-US" w:eastAsia="zh-CN"/>
        </w:rPr>
        <w:t>条件中</w:t>
      </w:r>
      <w:r>
        <w:rPr>
          <w:rFonts w:hint="eastAsia" w:ascii="宋体" w:hAnsi="宋体" w:eastAsia="宋体" w:cs="宋体"/>
          <w:i/>
          <w:iCs w:val="0"/>
          <w:color w:val="auto"/>
          <w:sz w:val="24"/>
          <w:highlight w:val="none"/>
          <w:u w:val="single"/>
        </w:rPr>
        <w:t>要求的证明文件</w:t>
      </w:r>
      <w:r>
        <w:rPr>
          <w:rFonts w:hint="eastAsia" w:ascii="宋体" w:hAnsi="宋体" w:eastAsia="宋体" w:cs="宋体"/>
          <w:i/>
          <w:iCs w:val="0"/>
          <w:color w:val="auto"/>
          <w:sz w:val="24"/>
          <w:highlight w:val="none"/>
          <w:u w:val="single"/>
          <w:lang w:eastAsia="zh-CN"/>
        </w:rPr>
        <w:t>（</w:t>
      </w:r>
      <w:r>
        <w:rPr>
          <w:rFonts w:hint="eastAsia" w:ascii="宋体" w:hAnsi="宋体" w:eastAsia="宋体" w:cs="宋体"/>
          <w:i/>
          <w:iCs w:val="0"/>
          <w:color w:val="auto"/>
          <w:sz w:val="24"/>
          <w:highlight w:val="none"/>
          <w:u w:val="single"/>
          <w:lang w:val="en-US" w:eastAsia="zh-CN"/>
        </w:rPr>
        <w:t>详见招标公告）</w:t>
      </w:r>
    </w:p>
    <w:p w14:paraId="32940FC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i/>
          <w:iCs w:val="0"/>
          <w:color w:val="auto"/>
          <w:sz w:val="24"/>
          <w:highlight w:val="none"/>
          <w:u w:val="single"/>
          <w:lang w:eastAsia="zh-CN"/>
        </w:rPr>
      </w:pPr>
      <w:r>
        <w:rPr>
          <w:rFonts w:hint="eastAsia" w:ascii="宋体" w:hAnsi="宋体" w:cs="宋体"/>
          <w:i/>
          <w:iCs w:val="0"/>
          <w:color w:val="auto"/>
          <w:sz w:val="24"/>
          <w:highlight w:val="none"/>
          <w:u w:val="single"/>
          <w:lang w:val="en-US" w:eastAsia="zh-CN"/>
        </w:rPr>
        <w:t>10</w:t>
      </w:r>
      <w:r>
        <w:rPr>
          <w:rFonts w:hint="eastAsia" w:ascii="宋体" w:hAnsi="宋体" w:eastAsia="宋体" w:cs="宋体"/>
          <w:i/>
          <w:iCs w:val="0"/>
          <w:color w:val="auto"/>
          <w:sz w:val="24"/>
          <w:highlight w:val="none"/>
          <w:u w:val="single"/>
          <w:lang w:val="en-US" w:eastAsia="zh-CN"/>
        </w:rPr>
        <w:t>、</w:t>
      </w:r>
      <w:r>
        <w:rPr>
          <w:rFonts w:hint="eastAsia" w:ascii="宋体" w:hAnsi="宋体" w:eastAsia="宋体" w:cs="宋体"/>
          <w:i/>
          <w:iCs w:val="0"/>
          <w:color w:val="auto"/>
          <w:sz w:val="24"/>
          <w:highlight w:val="none"/>
          <w:u w:val="single"/>
        </w:rPr>
        <w:t>法人授权书</w:t>
      </w:r>
      <w:r>
        <w:rPr>
          <w:rFonts w:hint="eastAsia" w:ascii="宋体" w:hAnsi="宋体" w:eastAsia="宋体" w:cs="宋体"/>
          <w:i/>
          <w:iCs w:val="0"/>
          <w:color w:val="auto"/>
          <w:sz w:val="24"/>
          <w:highlight w:val="none"/>
          <w:u w:val="single"/>
          <w:lang w:eastAsia="zh-CN"/>
        </w:rPr>
        <w:t>（</w:t>
      </w:r>
      <w:r>
        <w:rPr>
          <w:rFonts w:hint="eastAsia" w:ascii="宋体" w:hAnsi="宋体" w:eastAsia="宋体" w:cs="宋体"/>
          <w:i/>
          <w:iCs w:val="0"/>
          <w:color w:val="auto"/>
          <w:sz w:val="24"/>
          <w:highlight w:val="none"/>
          <w:u w:val="single"/>
          <w:lang w:val="en-US" w:eastAsia="zh-CN"/>
        </w:rPr>
        <w:t>如有授权</w:t>
      </w:r>
      <w:r>
        <w:rPr>
          <w:rFonts w:hint="eastAsia" w:ascii="宋体" w:hAnsi="宋体" w:eastAsia="宋体" w:cs="宋体"/>
          <w:i/>
          <w:iCs w:val="0"/>
          <w:color w:val="auto"/>
          <w:sz w:val="24"/>
          <w:highlight w:val="none"/>
          <w:u w:val="single"/>
          <w:lang w:eastAsia="zh-CN"/>
        </w:rPr>
        <w:t>）</w:t>
      </w:r>
    </w:p>
    <w:p w14:paraId="3F75C25B">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highlight w:val="none"/>
          <w:u w:val="single"/>
          <w:lang w:val="en-US" w:eastAsia="zh-CN"/>
        </w:rPr>
        <w:t>1</w:t>
      </w:r>
      <w:r>
        <w:rPr>
          <w:rFonts w:hint="eastAsia" w:ascii="宋体" w:hAnsi="宋体" w:cs="宋体"/>
          <w:i/>
          <w:iCs w:val="0"/>
          <w:color w:val="auto"/>
          <w:sz w:val="24"/>
          <w:highlight w:val="none"/>
          <w:u w:val="single"/>
          <w:lang w:val="en-US" w:eastAsia="zh-CN"/>
        </w:rPr>
        <w:t>1</w:t>
      </w:r>
      <w:r>
        <w:rPr>
          <w:rFonts w:hint="eastAsia" w:ascii="宋体" w:hAnsi="宋体" w:eastAsia="宋体" w:cs="宋体"/>
          <w:i/>
          <w:iCs w:val="0"/>
          <w:color w:val="auto"/>
          <w:sz w:val="24"/>
          <w:highlight w:val="none"/>
          <w:u w:val="single"/>
          <w:lang w:val="en-US" w:eastAsia="zh-CN"/>
        </w:rPr>
        <w:t>、</w:t>
      </w:r>
      <w:r>
        <w:rPr>
          <w:rFonts w:hint="eastAsia" w:ascii="宋体" w:hAnsi="宋体" w:eastAsia="宋体" w:cs="宋体"/>
          <w:i/>
          <w:iCs w:val="0"/>
          <w:color w:val="auto"/>
          <w:sz w:val="24"/>
          <w:highlight w:val="none"/>
          <w:u w:val="single"/>
        </w:rPr>
        <w:t>中小企业声明函或残疾人福利性单位声明函或监狱企业的证明文件</w:t>
      </w:r>
      <w:r>
        <w:rPr>
          <w:rFonts w:hint="eastAsia" w:ascii="宋体" w:hAnsi="宋体" w:eastAsia="宋体" w:cs="宋体"/>
          <w:i/>
          <w:iCs w:val="0"/>
          <w:color w:val="auto"/>
          <w:sz w:val="24"/>
          <w:highlight w:val="none"/>
          <w:u w:val="single"/>
          <w:lang w:eastAsia="zh-CN"/>
        </w:rPr>
        <w:t>；</w:t>
      </w:r>
      <w:r>
        <w:rPr>
          <w:rFonts w:hint="eastAsia" w:ascii="宋体" w:hAnsi="宋体" w:eastAsia="宋体" w:cs="宋体"/>
          <w:i/>
          <w:iCs w:val="0"/>
          <w:color w:val="auto"/>
          <w:sz w:val="24"/>
          <w:highlight w:val="none"/>
          <w:u w:val="single"/>
        </w:rPr>
        <w:t>注：本项目专门面向中小企业，供应商必须提供《中小企业声明函》或《残疾人福利性单位声明函》或省级以上监狱管理局、戒毒管理局（含新疆生产建设兵团）出具的属于监狱企业的证明文</w:t>
      </w:r>
      <w:r>
        <w:rPr>
          <w:rFonts w:hint="eastAsia" w:ascii="宋体" w:hAnsi="宋体" w:eastAsia="宋体" w:cs="宋体"/>
          <w:i/>
          <w:iCs w:val="0"/>
          <w:color w:val="auto"/>
          <w:sz w:val="24"/>
          <w:szCs w:val="24"/>
          <w:highlight w:val="none"/>
          <w:u w:val="single"/>
        </w:rPr>
        <w:t>件，否则响应无效</w:t>
      </w:r>
    </w:p>
    <w:p w14:paraId="5A20E41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lang w:val="en-US" w:eastAsia="zh-CN"/>
        </w:rPr>
        <w:t>1</w:t>
      </w:r>
      <w:r>
        <w:rPr>
          <w:rFonts w:hint="eastAsia" w:ascii="宋体" w:hAnsi="宋体" w:cs="宋体"/>
          <w:i/>
          <w:iCs w:val="0"/>
          <w:color w:val="auto"/>
          <w:sz w:val="24"/>
          <w:szCs w:val="24"/>
          <w:highlight w:val="none"/>
          <w:u w:val="single"/>
          <w:lang w:val="en-US" w:eastAsia="zh-CN"/>
        </w:rPr>
        <w:t>2</w:t>
      </w:r>
      <w:r>
        <w:rPr>
          <w:rFonts w:hint="eastAsia" w:ascii="宋体" w:hAnsi="宋体" w:eastAsia="宋体" w:cs="宋体"/>
          <w:i/>
          <w:iCs w:val="0"/>
          <w:color w:val="auto"/>
          <w:sz w:val="24"/>
          <w:szCs w:val="24"/>
          <w:highlight w:val="none"/>
          <w:u w:val="single"/>
          <w:lang w:val="en-US" w:eastAsia="zh-CN"/>
        </w:rPr>
        <w:t>、</w:t>
      </w:r>
      <w:r>
        <w:rPr>
          <w:rFonts w:hint="eastAsia" w:ascii="宋体" w:hAnsi="宋体" w:eastAsia="宋体" w:cs="宋体"/>
          <w:i/>
          <w:iCs w:val="0"/>
          <w:color w:val="auto"/>
          <w:sz w:val="24"/>
          <w:szCs w:val="24"/>
          <w:highlight w:val="none"/>
          <w:u w:val="single"/>
        </w:rPr>
        <w:t>投标函</w:t>
      </w:r>
    </w:p>
    <w:p w14:paraId="28E4958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lang w:val="en-US" w:eastAsia="zh-CN"/>
        </w:rPr>
        <w:t>1</w:t>
      </w:r>
      <w:r>
        <w:rPr>
          <w:rFonts w:hint="eastAsia" w:ascii="宋体" w:hAnsi="宋体" w:cs="宋体"/>
          <w:i/>
          <w:iCs w:val="0"/>
          <w:color w:val="auto"/>
          <w:sz w:val="24"/>
          <w:szCs w:val="24"/>
          <w:highlight w:val="none"/>
          <w:u w:val="single"/>
          <w:lang w:val="en-US" w:eastAsia="zh-CN"/>
        </w:rPr>
        <w:t>3</w:t>
      </w:r>
      <w:r>
        <w:rPr>
          <w:rFonts w:hint="eastAsia" w:ascii="宋体" w:hAnsi="宋体" w:eastAsia="宋体" w:cs="宋体"/>
          <w:i/>
          <w:iCs w:val="0"/>
          <w:color w:val="auto"/>
          <w:sz w:val="24"/>
          <w:szCs w:val="24"/>
          <w:highlight w:val="none"/>
          <w:u w:val="single"/>
          <w:lang w:val="en-US" w:eastAsia="zh-CN"/>
        </w:rPr>
        <w:t>、</w:t>
      </w:r>
      <w:r>
        <w:rPr>
          <w:rFonts w:hint="eastAsia" w:ascii="宋体" w:hAnsi="宋体" w:eastAsia="宋体" w:cs="宋体"/>
          <w:i/>
          <w:iCs w:val="0"/>
          <w:color w:val="auto"/>
          <w:sz w:val="24"/>
          <w:szCs w:val="24"/>
          <w:highlight w:val="none"/>
          <w:u w:val="single"/>
        </w:rPr>
        <w:t>开标一览表</w:t>
      </w:r>
    </w:p>
    <w:p w14:paraId="34BDD3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b w:val="0"/>
          <w:bCs w:val="0"/>
          <w:i/>
          <w:iCs w:val="0"/>
          <w:color w:val="auto"/>
          <w:sz w:val="24"/>
          <w:szCs w:val="24"/>
          <w:highlight w:val="none"/>
          <w:u w:val="single"/>
        </w:rPr>
      </w:pPr>
      <w:r>
        <w:rPr>
          <w:rFonts w:hint="eastAsia" w:ascii="宋体" w:hAnsi="宋体" w:eastAsia="宋体" w:cs="宋体"/>
          <w:b w:val="0"/>
          <w:bCs w:val="0"/>
          <w:i/>
          <w:iCs w:val="0"/>
          <w:color w:val="auto"/>
          <w:sz w:val="24"/>
          <w:szCs w:val="24"/>
          <w:highlight w:val="none"/>
          <w:u w:val="single"/>
          <w:lang w:val="en-US" w:eastAsia="zh-CN"/>
        </w:rPr>
        <w:t>1</w:t>
      </w:r>
      <w:r>
        <w:rPr>
          <w:rFonts w:hint="eastAsia" w:ascii="宋体" w:hAnsi="宋体" w:cs="宋体"/>
          <w:b w:val="0"/>
          <w:bCs w:val="0"/>
          <w:i/>
          <w:iCs w:val="0"/>
          <w:color w:val="auto"/>
          <w:sz w:val="24"/>
          <w:szCs w:val="24"/>
          <w:highlight w:val="none"/>
          <w:u w:val="single"/>
          <w:lang w:val="en-US" w:eastAsia="zh-CN"/>
        </w:rPr>
        <w:t>4</w:t>
      </w:r>
      <w:r>
        <w:rPr>
          <w:rFonts w:hint="eastAsia" w:ascii="宋体" w:hAnsi="宋体" w:eastAsia="宋体" w:cs="宋体"/>
          <w:b w:val="0"/>
          <w:bCs w:val="0"/>
          <w:i/>
          <w:iCs w:val="0"/>
          <w:color w:val="auto"/>
          <w:sz w:val="24"/>
          <w:szCs w:val="24"/>
          <w:highlight w:val="none"/>
          <w:u w:val="single"/>
          <w:lang w:val="en-US" w:eastAsia="zh-CN"/>
        </w:rPr>
        <w:t>、清单报价表（按照采购人提供）</w:t>
      </w:r>
    </w:p>
    <w:p w14:paraId="45C67D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b w:val="0"/>
          <w:bCs w:val="0"/>
          <w:iCs/>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技术要求响应及偏离表</w:t>
      </w:r>
    </w:p>
    <w:p w14:paraId="20F907C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b w:val="0"/>
          <w:bCs w:val="0"/>
          <w:iCs/>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、商务</w:t>
      </w:r>
      <w:r>
        <w:rPr>
          <w:rFonts w:hint="eastAsia" w:ascii="宋体" w:hAnsi="宋体" w:eastAsia="宋体" w:cs="宋体"/>
          <w:b w:val="0"/>
          <w:bCs w:val="0"/>
          <w:color w:val="auto"/>
          <w:sz w:val="24"/>
          <w:szCs w:val="24"/>
          <w:highlight w:val="none"/>
        </w:rPr>
        <w:t>要求响应及偏离表</w:t>
      </w:r>
    </w:p>
    <w:p w14:paraId="5A47941B">
      <w:pPr>
        <w:pStyle w:val="225"/>
        <w:keepNext w:val="0"/>
        <w:keepLines w:val="0"/>
        <w:pageBreakBefore w:val="0"/>
        <w:widowControl w:val="0"/>
        <w:kinsoku/>
        <w:wordWrap/>
        <w:overflowPunct/>
        <w:topLinePunct w:val="0"/>
        <w:autoSpaceDE/>
        <w:autoSpaceDN/>
        <w:bidi w:val="0"/>
        <w:adjustRightInd/>
        <w:snapToGrid/>
        <w:spacing w:after="0" w:line="44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17、拟投入本项目人员一览表</w:t>
      </w:r>
      <w:r>
        <w:rPr>
          <w:rFonts w:hint="eastAsia" w:ascii="宋体" w:hAnsi="宋体" w:eastAsia="宋体" w:cs="宋体"/>
          <w:iCs/>
          <w:color w:val="auto"/>
          <w:sz w:val="24"/>
          <w:highlight w:val="none"/>
          <w:lang w:eastAsia="zh-CN"/>
        </w:rPr>
        <w:t>，</w:t>
      </w:r>
      <w:r>
        <w:rPr>
          <w:rFonts w:hint="eastAsia" w:ascii="宋体" w:hAnsi="宋体" w:eastAsia="宋体" w:cs="宋体"/>
          <w:iCs/>
          <w:color w:val="auto"/>
          <w:sz w:val="24"/>
          <w:highlight w:val="none"/>
          <w:lang w:val="en-US" w:eastAsia="zh-CN"/>
        </w:rPr>
        <w:t>还需提供证明材料</w:t>
      </w:r>
    </w:p>
    <w:p w14:paraId="278D9BF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    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、拟投入本项目的设备情况表</w:t>
      </w:r>
      <w:r>
        <w:rPr>
          <w:rFonts w:hint="eastAsia" w:ascii="宋体" w:hAnsi="宋体" w:eastAsia="宋体" w:cs="宋体"/>
          <w:iCs/>
          <w:color w:val="auto"/>
          <w:sz w:val="24"/>
          <w:highlight w:val="none"/>
          <w:lang w:eastAsia="zh-CN"/>
        </w:rPr>
        <w:t>，</w:t>
      </w:r>
      <w:r>
        <w:rPr>
          <w:rFonts w:hint="eastAsia" w:ascii="宋体" w:hAnsi="宋体" w:eastAsia="宋体" w:cs="宋体"/>
          <w:iCs/>
          <w:color w:val="auto"/>
          <w:sz w:val="24"/>
          <w:highlight w:val="none"/>
          <w:lang w:val="en-US" w:eastAsia="zh-CN"/>
        </w:rPr>
        <w:t>还需提供证明材料</w:t>
      </w:r>
    </w:p>
    <w:p w14:paraId="0F5D9B7E">
      <w:pPr>
        <w:pStyle w:val="225"/>
        <w:keepNext w:val="0"/>
        <w:keepLines w:val="0"/>
        <w:pageBreakBefore w:val="0"/>
        <w:widowControl w:val="0"/>
        <w:kinsoku/>
        <w:wordWrap/>
        <w:overflowPunct/>
        <w:topLinePunct w:val="0"/>
        <w:autoSpaceDE/>
        <w:autoSpaceDN/>
        <w:bidi w:val="0"/>
        <w:adjustRightInd/>
        <w:snapToGrid/>
        <w:spacing w:after="0" w:line="440" w:lineRule="exact"/>
        <w:ind w:left="0" w:leftChars="0" w:firstLine="480" w:firstLineChars="200"/>
        <w:textAlignment w:val="auto"/>
        <w:rPr>
          <w:rFonts w:hint="eastAsia" w:ascii="宋体" w:hAnsi="宋体" w:eastAsia="宋体" w:cs="宋体"/>
          <w:iCs/>
          <w:color w:val="auto"/>
          <w:sz w:val="24"/>
          <w:highlight w:val="none"/>
          <w:lang w:val="en-US" w:eastAsia="zh-CN"/>
        </w:rPr>
      </w:pPr>
      <w:r>
        <w:rPr>
          <w:rFonts w:hint="eastAsia" w:ascii="宋体" w:hAnsi="宋体" w:eastAsia="宋体" w:cs="宋体"/>
          <w:color w:val="auto"/>
          <w:sz w:val="24"/>
          <w:highlight w:val="none"/>
          <w:lang w:val="en-US" w:eastAsia="zh-CN"/>
        </w:rPr>
        <w:t>19、投标单位类似项目业绩一览表</w:t>
      </w:r>
      <w:r>
        <w:rPr>
          <w:rFonts w:hint="eastAsia" w:ascii="宋体" w:hAnsi="宋体" w:eastAsia="宋体" w:cs="宋体"/>
          <w:iCs/>
          <w:color w:val="auto"/>
          <w:sz w:val="24"/>
          <w:highlight w:val="none"/>
          <w:lang w:eastAsia="zh-CN"/>
        </w:rPr>
        <w:t>，</w:t>
      </w:r>
      <w:r>
        <w:rPr>
          <w:rFonts w:hint="eastAsia" w:ascii="宋体" w:hAnsi="宋体" w:eastAsia="宋体" w:cs="宋体"/>
          <w:iCs/>
          <w:color w:val="auto"/>
          <w:sz w:val="24"/>
          <w:highlight w:val="none"/>
          <w:lang w:val="en-US" w:eastAsia="zh-CN"/>
        </w:rPr>
        <w:t>还需提供证明材料</w:t>
      </w:r>
    </w:p>
    <w:p w14:paraId="1EE26A7D">
      <w:pPr>
        <w:pStyle w:val="225"/>
        <w:keepNext w:val="0"/>
        <w:keepLines w:val="0"/>
        <w:pageBreakBefore w:val="0"/>
        <w:widowControl w:val="0"/>
        <w:kinsoku/>
        <w:wordWrap/>
        <w:overflowPunct/>
        <w:topLinePunct w:val="0"/>
        <w:autoSpaceDE/>
        <w:autoSpaceDN/>
        <w:bidi w:val="0"/>
        <w:adjustRightInd/>
        <w:snapToGrid/>
        <w:spacing w:after="0" w:line="440" w:lineRule="exact"/>
        <w:ind w:left="0" w:leftChars="0" w:firstLine="480" w:firstLineChars="20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20、</w:t>
      </w:r>
      <w:r>
        <w:rPr>
          <w:rFonts w:hint="eastAsia" w:ascii="宋体" w:hAnsi="宋体" w:eastAsia="宋体" w:cs="宋体"/>
          <w:i w:val="0"/>
          <w:iCs/>
          <w:color w:val="auto"/>
          <w:sz w:val="24"/>
          <w:szCs w:val="24"/>
          <w:highlight w:val="none"/>
          <w:u w:val="none"/>
        </w:rPr>
        <w:t>技术方案、服务承诺、培训承诺等</w:t>
      </w:r>
    </w:p>
    <w:p w14:paraId="31C39040">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i w:val="0"/>
          <w:iCs/>
          <w:color w:val="auto"/>
          <w:sz w:val="24"/>
          <w:szCs w:val="24"/>
          <w:highlight w:val="none"/>
          <w:u w:val="none"/>
          <w:lang w:val="en-US" w:eastAsia="zh-CN"/>
        </w:rPr>
        <w:t>2</w:t>
      </w:r>
      <w:r>
        <w:rPr>
          <w:rFonts w:hint="eastAsia" w:ascii="宋体" w:hAnsi="宋体" w:cs="宋体"/>
          <w:i w:val="0"/>
          <w:iCs/>
          <w:color w:val="auto"/>
          <w:sz w:val="24"/>
          <w:szCs w:val="24"/>
          <w:highlight w:val="none"/>
          <w:u w:val="none"/>
          <w:lang w:val="en-US" w:eastAsia="zh-CN"/>
        </w:rPr>
        <w:t>1</w:t>
      </w:r>
      <w:r>
        <w:rPr>
          <w:rFonts w:hint="eastAsia" w:ascii="宋体" w:hAnsi="宋体" w:eastAsia="宋体" w:cs="宋体"/>
          <w:i w:val="0"/>
          <w:iCs/>
          <w:color w:val="auto"/>
          <w:sz w:val="24"/>
          <w:szCs w:val="24"/>
          <w:highlight w:val="none"/>
          <w:u w:val="none"/>
          <w:lang w:val="en-US" w:eastAsia="zh-CN"/>
        </w:rPr>
        <w:t>、招标文件要求或者投标人认为需要提供的文件或证明材料</w:t>
      </w:r>
    </w:p>
    <w:p w14:paraId="1C1CF109">
      <w:pPr>
        <w:keepNext w:val="0"/>
        <w:keepLines w:val="0"/>
        <w:pageBreakBefore w:val="0"/>
        <w:widowControl/>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iCs/>
          <w:color w:val="auto"/>
          <w:sz w:val="24"/>
          <w:szCs w:val="24"/>
          <w:highlight w:val="none"/>
          <w:lang w:val="en-US" w:eastAsia="zh-CN"/>
        </w:rPr>
        <w:t>2</w:t>
      </w:r>
      <w:r>
        <w:rPr>
          <w:rFonts w:hint="eastAsia" w:ascii="宋体" w:hAnsi="宋体" w:cs="宋体"/>
          <w:iCs/>
          <w:color w:val="auto"/>
          <w:sz w:val="24"/>
          <w:szCs w:val="24"/>
          <w:highlight w:val="none"/>
          <w:lang w:val="en-US" w:eastAsia="zh-CN"/>
        </w:rPr>
        <w:t>2</w:t>
      </w:r>
      <w:r>
        <w:rPr>
          <w:rFonts w:hint="eastAsia" w:ascii="宋体" w:hAnsi="宋体" w:eastAsia="宋体" w:cs="宋体"/>
          <w:iCs/>
          <w:color w:val="auto"/>
          <w:sz w:val="24"/>
          <w:szCs w:val="24"/>
          <w:highlight w:val="none"/>
          <w:lang w:val="en-US" w:eastAsia="zh-CN"/>
        </w:rPr>
        <w:t>、</w:t>
      </w:r>
      <w:r>
        <w:rPr>
          <w:rFonts w:hint="eastAsia" w:ascii="宋体" w:hAnsi="宋体" w:eastAsia="宋体" w:cs="宋体"/>
          <w:iCs/>
          <w:color w:val="auto"/>
          <w:sz w:val="24"/>
          <w:szCs w:val="24"/>
          <w:highlight w:val="none"/>
        </w:rPr>
        <w:t>盐城市政府采购事前信用承诺书</w:t>
      </w:r>
    </w:p>
    <w:p w14:paraId="40A8D46E">
      <w:pPr>
        <w:rPr>
          <w:rFonts w:hint="eastAsia" w:ascii="宋体" w:hAnsi="宋体" w:eastAsia="宋体" w:cs="宋体"/>
          <w:color w:val="auto"/>
          <w:highlight w:val="none"/>
          <w:lang w:val="en-US" w:eastAsia="zh-CN"/>
        </w:rPr>
      </w:pPr>
    </w:p>
    <w:p w14:paraId="03BD3F56">
      <w:pPr>
        <w:rPr>
          <w:rFonts w:hint="eastAsia" w:ascii="宋体" w:hAnsi="宋体" w:eastAsia="宋体" w:cs="宋体"/>
          <w:color w:val="auto"/>
          <w:highlight w:val="none"/>
          <w:lang w:val="en-US" w:eastAsia="zh-CN"/>
        </w:rPr>
      </w:pPr>
    </w:p>
    <w:p w14:paraId="1D169B66">
      <w:pPr>
        <w:pStyle w:val="44"/>
        <w:rPr>
          <w:rFonts w:hint="eastAsia" w:ascii="宋体" w:hAnsi="宋体" w:eastAsia="宋体" w:cs="宋体"/>
          <w:iCs/>
          <w:color w:val="auto"/>
          <w:sz w:val="28"/>
          <w:szCs w:val="28"/>
          <w:highlight w:val="none"/>
        </w:rPr>
      </w:pPr>
      <w:r>
        <w:rPr>
          <w:rFonts w:hint="eastAsia" w:ascii="宋体" w:hAnsi="宋体" w:eastAsia="宋体" w:cs="宋体"/>
          <w:b/>
          <w:bCs/>
          <w:color w:val="auto"/>
          <w:sz w:val="28"/>
          <w:szCs w:val="28"/>
          <w:highlight w:val="none"/>
          <w:lang w:val="en-US" w:eastAsia="zh-CN"/>
        </w:rPr>
        <w:t>附  表：</w:t>
      </w:r>
    </w:p>
    <w:p w14:paraId="6615D3E3">
      <w:pPr>
        <w:spacing w:line="360" w:lineRule="auto"/>
        <w:jc w:val="both"/>
        <w:rPr>
          <w:rFonts w:hint="eastAsia" w:ascii="宋体" w:hAnsi="宋体" w:eastAsia="宋体" w:cs="宋体"/>
          <w:b/>
          <w:bCs/>
          <w:color w:val="auto"/>
          <w:sz w:val="28"/>
          <w:szCs w:val="28"/>
          <w:highlight w:val="none"/>
          <w:u w:val="none"/>
        </w:rPr>
      </w:pPr>
    </w:p>
    <w:p w14:paraId="7CE88C56">
      <w:pPr>
        <w:spacing w:line="360" w:lineRule="auto"/>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t>具备履行合同所必需的设备和专业技术能力的书面声明</w:t>
      </w:r>
    </w:p>
    <w:p w14:paraId="319D60EF">
      <w:pPr>
        <w:keepNext w:val="0"/>
        <w:keepLines w:val="0"/>
        <w:pageBreakBefore w:val="0"/>
        <w:widowControl w:val="0"/>
        <w:kinsoku/>
        <w:wordWrap/>
        <w:overflowPunct/>
        <w:topLinePunct w:val="0"/>
        <w:autoSpaceDE/>
        <w:autoSpaceDN/>
        <w:bidi w:val="0"/>
        <w:adjustRightInd/>
        <w:snapToGrid/>
        <w:spacing w:line="480" w:lineRule="auto"/>
        <w:ind w:firstLine="492"/>
        <w:textAlignment w:val="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我公司郑重声明：我公司具备履行本项采购合同所必需的设备和专业技术能力，为履行本项采购合同我公司具备如下主要设备和主要专业技术能力：</w:t>
      </w:r>
    </w:p>
    <w:p w14:paraId="2C517E75">
      <w:pPr>
        <w:keepNext w:val="0"/>
        <w:keepLines w:val="0"/>
        <w:pageBreakBefore w:val="0"/>
        <w:widowControl w:val="0"/>
        <w:kinsoku/>
        <w:wordWrap/>
        <w:overflowPunct/>
        <w:topLinePunct w:val="0"/>
        <w:autoSpaceDE/>
        <w:autoSpaceDN/>
        <w:bidi w:val="0"/>
        <w:adjustRightInd/>
        <w:snapToGrid/>
        <w:spacing w:line="480" w:lineRule="auto"/>
        <w:ind w:firstLine="492"/>
        <w:textAlignment w:val="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主要设备有：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rPr>
        <w:t xml:space="preserve">     </w:t>
      </w:r>
      <w:r>
        <w:rPr>
          <w:rFonts w:hint="eastAsia" w:ascii="宋体" w:hAnsi="宋体" w:eastAsia="宋体" w:cs="宋体"/>
          <w:bCs/>
          <w:color w:val="auto"/>
          <w:sz w:val="24"/>
          <w:szCs w:val="24"/>
          <w:highlight w:val="none"/>
          <w:u w:val="none"/>
          <w:lang w:val="en-US" w:eastAsia="zh-CN"/>
        </w:rPr>
        <w:t xml:space="preserve">       </w:t>
      </w:r>
      <w:r>
        <w:rPr>
          <w:rFonts w:hint="eastAsia" w:ascii="宋体" w:hAnsi="宋体" w:eastAsia="宋体" w:cs="宋体"/>
          <w:bCs/>
          <w:color w:val="auto"/>
          <w:sz w:val="24"/>
          <w:szCs w:val="24"/>
          <w:highlight w:val="none"/>
          <w:u w:val="none"/>
        </w:rPr>
        <w:t xml:space="preserve">     。</w:t>
      </w:r>
    </w:p>
    <w:p w14:paraId="0AD137DA">
      <w:pPr>
        <w:keepNext w:val="0"/>
        <w:keepLines w:val="0"/>
        <w:pageBreakBefore w:val="0"/>
        <w:widowControl w:val="0"/>
        <w:kinsoku/>
        <w:wordWrap/>
        <w:overflowPunct/>
        <w:topLinePunct w:val="0"/>
        <w:autoSpaceDE/>
        <w:autoSpaceDN/>
        <w:bidi w:val="0"/>
        <w:adjustRightInd/>
        <w:snapToGrid/>
        <w:spacing w:line="480" w:lineRule="auto"/>
        <w:ind w:firstLine="492"/>
        <w:textAlignment w:val="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主要专业技术能力有：</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rPr>
        <w:t xml:space="preserve">     </w:t>
      </w:r>
      <w:r>
        <w:rPr>
          <w:rFonts w:hint="eastAsia" w:ascii="宋体" w:hAnsi="宋体" w:eastAsia="宋体" w:cs="宋体"/>
          <w:bCs/>
          <w:color w:val="auto"/>
          <w:sz w:val="24"/>
          <w:szCs w:val="24"/>
          <w:highlight w:val="none"/>
          <w:u w:val="none"/>
          <w:lang w:val="en-US" w:eastAsia="zh-CN"/>
        </w:rPr>
        <w:t xml:space="preserve">   </w:t>
      </w:r>
      <w:r>
        <w:rPr>
          <w:rFonts w:hint="eastAsia" w:ascii="宋体" w:hAnsi="宋体" w:eastAsia="宋体" w:cs="宋体"/>
          <w:bCs/>
          <w:color w:val="auto"/>
          <w:sz w:val="24"/>
          <w:szCs w:val="24"/>
          <w:highlight w:val="none"/>
          <w:u w:val="none"/>
        </w:rPr>
        <w:t xml:space="preserve">        。</w:t>
      </w:r>
    </w:p>
    <w:p w14:paraId="253947A6">
      <w:pPr>
        <w:keepNext w:val="0"/>
        <w:keepLines w:val="0"/>
        <w:pageBreakBefore w:val="0"/>
        <w:widowControl w:val="0"/>
        <w:kinsoku/>
        <w:wordWrap/>
        <w:overflowPunct/>
        <w:topLinePunct w:val="0"/>
        <w:autoSpaceDE/>
        <w:autoSpaceDN/>
        <w:bidi w:val="0"/>
        <w:adjustRightInd/>
        <w:snapToGrid/>
        <w:spacing w:line="480" w:lineRule="auto"/>
        <w:ind w:firstLine="3360" w:firstLineChars="1400"/>
        <w:jc w:val="both"/>
        <w:textAlignment w:val="auto"/>
        <w:rPr>
          <w:rFonts w:hint="eastAsia" w:ascii="宋体" w:hAnsi="宋体" w:eastAsia="宋体" w:cs="宋体"/>
          <w:bCs/>
          <w:color w:val="auto"/>
          <w:sz w:val="24"/>
          <w:szCs w:val="24"/>
          <w:highlight w:val="none"/>
          <w:u w:val="none"/>
          <w:lang w:val="en-US" w:eastAsia="zh-CN"/>
        </w:rPr>
      </w:pPr>
    </w:p>
    <w:p w14:paraId="3BF28D12">
      <w:pPr>
        <w:keepNext w:val="0"/>
        <w:keepLines w:val="0"/>
        <w:pageBreakBefore w:val="0"/>
        <w:widowControl w:val="0"/>
        <w:kinsoku/>
        <w:wordWrap/>
        <w:overflowPunct/>
        <w:topLinePunct w:val="0"/>
        <w:autoSpaceDE/>
        <w:autoSpaceDN/>
        <w:bidi w:val="0"/>
        <w:adjustRightInd/>
        <w:snapToGrid/>
        <w:spacing w:line="480" w:lineRule="auto"/>
        <w:ind w:firstLine="3600" w:firstLineChars="1500"/>
        <w:jc w:val="both"/>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投标人</w:t>
      </w:r>
      <w:r>
        <w:rPr>
          <w:rFonts w:hint="eastAsia" w:ascii="宋体" w:hAnsi="宋体" w:eastAsia="宋体" w:cs="宋体"/>
          <w:bCs/>
          <w:color w:val="auto"/>
          <w:sz w:val="24"/>
          <w:szCs w:val="24"/>
          <w:highlight w:val="none"/>
          <w:u w:val="none"/>
        </w:rPr>
        <w:t>名称（公章）：</w:t>
      </w:r>
      <w:r>
        <w:rPr>
          <w:rFonts w:hint="eastAsia" w:ascii="宋体" w:hAnsi="宋体" w:eastAsia="宋体" w:cs="宋体"/>
          <w:bCs/>
          <w:color w:val="auto"/>
          <w:sz w:val="24"/>
          <w:szCs w:val="24"/>
          <w:highlight w:val="none"/>
          <w:u w:val="none"/>
          <w:lang w:val="en-US" w:eastAsia="zh-CN"/>
        </w:rPr>
        <w:t xml:space="preserve">                       </w:t>
      </w:r>
    </w:p>
    <w:p w14:paraId="53A616B1">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法定代表人</w:t>
      </w:r>
      <w:r>
        <w:rPr>
          <w:rFonts w:hint="eastAsia" w:ascii="宋体" w:hAnsi="宋体" w:eastAsia="宋体" w:cs="宋体"/>
          <w:color w:val="auto"/>
          <w:sz w:val="24"/>
          <w:szCs w:val="24"/>
          <w:highlight w:val="none"/>
          <w:u w:val="none"/>
          <w:lang w:val="en-US" w:eastAsia="zh-CN"/>
        </w:rPr>
        <w:t>或授权代表人</w:t>
      </w:r>
      <w:r>
        <w:rPr>
          <w:rFonts w:hint="eastAsia" w:ascii="宋体" w:hAnsi="宋体" w:eastAsia="宋体" w:cs="宋体"/>
          <w:color w:val="auto"/>
          <w:sz w:val="24"/>
          <w:szCs w:val="24"/>
          <w:highlight w:val="none"/>
          <w:u w:val="none"/>
        </w:rPr>
        <w:t>（签字或盖章）：</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w:t>
      </w:r>
    </w:p>
    <w:p w14:paraId="2B6A78F8">
      <w:pPr>
        <w:keepNext w:val="0"/>
        <w:keepLines w:val="0"/>
        <w:pageBreakBefore w:val="0"/>
        <w:widowControl w:val="0"/>
        <w:kinsoku/>
        <w:wordWrap/>
        <w:overflowPunct/>
        <w:topLinePunct w:val="0"/>
        <w:autoSpaceDE/>
        <w:autoSpaceDN/>
        <w:bidi w:val="0"/>
        <w:adjustRightInd/>
        <w:snapToGrid/>
        <w:spacing w:line="480" w:lineRule="auto"/>
        <w:ind w:firstLine="4080" w:firstLineChars="170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日期：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年</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月</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日</w:t>
      </w:r>
    </w:p>
    <w:p w14:paraId="466DF8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480" w:lineRule="auto"/>
        <w:textAlignment w:val="auto"/>
        <w:rPr>
          <w:rFonts w:hint="eastAsia" w:ascii="宋体" w:hAnsi="宋体" w:eastAsia="宋体" w:cs="宋体"/>
          <w:iCs/>
          <w:color w:val="auto"/>
          <w:sz w:val="24"/>
          <w:szCs w:val="24"/>
          <w:highlight w:val="none"/>
          <w:u w:val="none"/>
        </w:rPr>
        <w:sectPr>
          <w:footerReference r:id="rId7" w:type="first"/>
          <w:footerReference r:id="rId6" w:type="default"/>
          <w:pgSz w:w="11906" w:h="16838"/>
          <w:pgMar w:top="1418" w:right="1588" w:bottom="1418" w:left="1365" w:header="851" w:footer="907" w:gutter="0"/>
          <w:pgBorders>
            <w:top w:val="none" w:sz="0" w:space="0"/>
            <w:left w:val="none" w:sz="0" w:space="0"/>
            <w:bottom w:val="none" w:sz="0" w:space="0"/>
            <w:right w:val="none" w:sz="0" w:space="0"/>
          </w:pgBorders>
          <w:pgNumType w:fmt="decimal"/>
          <w:cols w:space="720" w:num="1"/>
          <w:docGrid w:linePitch="360" w:charSpace="0"/>
        </w:sectPr>
      </w:pPr>
    </w:p>
    <w:p w14:paraId="3D70C9BF">
      <w:pPr>
        <w:pBdr>
          <w:top w:val="none" w:color="000000" w:sz="0" w:space="0"/>
          <w:left w:val="none" w:color="000000" w:sz="0" w:space="0"/>
          <w:bottom w:val="none" w:color="000000" w:sz="0" w:space="0"/>
          <w:right w:val="none" w:color="000000" w:sz="0" w:space="0"/>
        </w:pBdr>
        <w:spacing w:before="100" w:after="100"/>
        <w:ind w:left="958" w:leftChars="456" w:firstLine="0" w:firstLineChars="0"/>
        <w:rPr>
          <w:rFonts w:hint="eastAsia" w:ascii="宋体" w:hAnsi="宋体" w:eastAsia="宋体" w:cs="宋体"/>
          <w:iCs/>
          <w:color w:val="auto"/>
          <w:sz w:val="36"/>
          <w:szCs w:val="36"/>
          <w:highlight w:val="none"/>
          <w:u w:val="none"/>
        </w:rPr>
      </w:pPr>
      <w:r>
        <w:rPr>
          <w:rFonts w:hint="eastAsia" w:ascii="宋体" w:hAnsi="宋体" w:eastAsia="宋体" w:cs="宋体"/>
          <w:iCs/>
          <w:color w:val="auto"/>
          <w:sz w:val="36"/>
          <w:szCs w:val="36"/>
          <w:highlight w:val="none"/>
          <w:u w:val="none"/>
        </w:rPr>
        <w:t>参加政府采购活动前 3 年内在经营活动中</w:t>
      </w:r>
    </w:p>
    <w:p w14:paraId="7A6F96C4">
      <w:pPr>
        <w:pBdr>
          <w:top w:val="none" w:color="000000" w:sz="0" w:space="0"/>
          <w:left w:val="none" w:color="000000" w:sz="0" w:space="0"/>
          <w:bottom w:val="none" w:color="000000" w:sz="0" w:space="0"/>
          <w:right w:val="none" w:color="000000" w:sz="0" w:space="0"/>
        </w:pBdr>
        <w:spacing w:before="100" w:after="100"/>
        <w:ind w:left="958" w:leftChars="456" w:firstLine="1080" w:firstLineChars="300"/>
        <w:rPr>
          <w:rFonts w:hint="eastAsia" w:ascii="宋体" w:hAnsi="宋体" w:eastAsia="宋体" w:cs="宋体"/>
          <w:iCs/>
          <w:color w:val="auto"/>
          <w:sz w:val="36"/>
          <w:szCs w:val="36"/>
          <w:highlight w:val="none"/>
          <w:u w:val="none"/>
        </w:rPr>
      </w:pPr>
      <w:r>
        <w:rPr>
          <w:rFonts w:hint="eastAsia" w:ascii="宋体" w:hAnsi="宋体" w:eastAsia="宋体" w:cs="宋体"/>
          <w:iCs/>
          <w:color w:val="auto"/>
          <w:sz w:val="36"/>
          <w:szCs w:val="36"/>
          <w:highlight w:val="none"/>
          <w:u w:val="none"/>
        </w:rPr>
        <w:t>没有重大违法记录的书面声明</w:t>
      </w:r>
    </w:p>
    <w:p w14:paraId="79AA7397">
      <w:pPr>
        <w:pBdr>
          <w:top w:val="none" w:color="000000" w:sz="0" w:space="0"/>
          <w:left w:val="none" w:color="000000" w:sz="0" w:space="0"/>
          <w:bottom w:val="none" w:color="000000" w:sz="0" w:space="0"/>
          <w:right w:val="none" w:color="000000" w:sz="0" w:space="0"/>
        </w:pBdr>
        <w:spacing w:before="100" w:after="100"/>
        <w:rPr>
          <w:rFonts w:hint="eastAsia" w:ascii="宋体" w:hAnsi="宋体" w:eastAsia="宋体" w:cs="宋体"/>
          <w:iCs/>
          <w:color w:val="auto"/>
          <w:highlight w:val="none"/>
          <w:u w:val="none"/>
        </w:rPr>
      </w:pPr>
    </w:p>
    <w:p w14:paraId="4CFC2CB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44"/>
          <w:szCs w:val="44"/>
          <w:highlight w:val="none"/>
          <w:u w:val="none"/>
        </w:rPr>
      </w:pPr>
      <w:r>
        <w:rPr>
          <w:rFonts w:hint="eastAsia" w:ascii="宋体" w:hAnsi="宋体" w:eastAsia="宋体" w:cs="宋体"/>
          <w:b/>
          <w:bCs/>
          <w:color w:val="auto"/>
          <w:sz w:val="44"/>
          <w:szCs w:val="44"/>
          <w:highlight w:val="none"/>
          <w:u w:val="none"/>
        </w:rPr>
        <w:t>声  明</w:t>
      </w:r>
    </w:p>
    <w:p w14:paraId="3CBD58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8"/>
          <w:szCs w:val="28"/>
          <w:highlight w:val="none"/>
          <w:u w:val="none"/>
        </w:rPr>
      </w:pPr>
      <w:r>
        <w:rPr>
          <w:rFonts w:hint="eastAsia" w:ascii="宋体" w:hAnsi="宋体" w:eastAsia="宋体" w:cs="宋体"/>
          <w:b/>
          <w:bCs/>
          <w:color w:val="auto"/>
          <w:sz w:val="24"/>
          <w:highlight w:val="none"/>
          <w:u w:val="none"/>
        </w:rPr>
        <w:t xml:space="preserve">  </w:t>
      </w:r>
      <w:r>
        <w:rPr>
          <w:rFonts w:hint="eastAsia" w:ascii="宋体" w:hAnsi="宋体" w:eastAsia="宋体" w:cs="宋体"/>
          <w:b/>
          <w:bCs/>
          <w:color w:val="auto"/>
          <w:sz w:val="28"/>
          <w:szCs w:val="28"/>
          <w:highlight w:val="none"/>
          <w:u w:val="none"/>
        </w:rPr>
        <w:t xml:space="preserve">  </w:t>
      </w:r>
      <w:r>
        <w:rPr>
          <w:rFonts w:hint="eastAsia" w:ascii="宋体" w:hAnsi="宋体" w:eastAsia="宋体" w:cs="宋体"/>
          <w:bCs/>
          <w:color w:val="auto"/>
          <w:sz w:val="28"/>
          <w:szCs w:val="28"/>
          <w:highlight w:val="none"/>
          <w:u w:val="none"/>
        </w:rPr>
        <w:t>我公司郑重声明：参加本次政府采购活动前 3 年内，我公司在经营活动中没有因违法经营受到刑事处罚或者责令停产停业、吊销许可证或者执照、较大数额罚款等行政处罚。</w:t>
      </w:r>
    </w:p>
    <w:p w14:paraId="6D1BDB36">
      <w:pPr>
        <w:keepNext w:val="0"/>
        <w:keepLines w:val="0"/>
        <w:pageBreakBefore w:val="0"/>
        <w:widowControl w:val="0"/>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Cs/>
          <w:color w:val="auto"/>
          <w:sz w:val="28"/>
          <w:szCs w:val="28"/>
          <w:highlight w:val="none"/>
          <w:u w:val="none"/>
        </w:rPr>
        <w:t xml:space="preserve">    </w:t>
      </w:r>
      <w:r>
        <w:rPr>
          <w:rFonts w:hint="eastAsia" w:ascii="宋体" w:hAnsi="宋体" w:eastAsia="宋体" w:cs="宋体"/>
          <w:bCs/>
          <w:color w:val="auto"/>
          <w:sz w:val="28"/>
          <w:szCs w:val="28"/>
          <w:highlight w:val="none"/>
          <w:u w:val="none"/>
          <w:lang w:val="en-US" w:eastAsia="zh-CN"/>
        </w:rPr>
        <w:t>投标人</w:t>
      </w:r>
      <w:r>
        <w:rPr>
          <w:rFonts w:hint="eastAsia" w:ascii="宋体" w:hAnsi="宋体" w:eastAsia="宋体" w:cs="宋体"/>
          <w:bCs/>
          <w:color w:val="auto"/>
          <w:sz w:val="28"/>
          <w:szCs w:val="28"/>
          <w:highlight w:val="none"/>
          <w:u w:val="none"/>
        </w:rPr>
        <w:t>名称（公章）：</w:t>
      </w:r>
      <w:r>
        <w:rPr>
          <w:rFonts w:hint="eastAsia" w:ascii="宋体" w:hAnsi="宋体" w:eastAsia="宋体" w:cs="宋体"/>
          <w:bCs/>
          <w:color w:val="auto"/>
          <w:sz w:val="28"/>
          <w:szCs w:val="28"/>
          <w:highlight w:val="none"/>
          <w:u w:val="none"/>
          <w:lang w:val="en-US" w:eastAsia="zh-CN"/>
        </w:rPr>
        <w:t xml:space="preserve">                       </w:t>
      </w:r>
    </w:p>
    <w:p w14:paraId="601A020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rPr>
        <w:t xml:space="preserve">                  法定代表人</w:t>
      </w:r>
      <w:r>
        <w:rPr>
          <w:rFonts w:hint="eastAsia" w:ascii="宋体" w:hAnsi="宋体" w:eastAsia="宋体" w:cs="宋体"/>
          <w:color w:val="auto"/>
          <w:sz w:val="28"/>
          <w:szCs w:val="28"/>
          <w:highlight w:val="none"/>
          <w:u w:val="none"/>
          <w:lang w:val="en-US" w:eastAsia="zh-CN"/>
        </w:rPr>
        <w:t>或授权代表人</w:t>
      </w:r>
      <w:r>
        <w:rPr>
          <w:rFonts w:hint="eastAsia" w:ascii="宋体" w:hAnsi="宋体" w:eastAsia="宋体" w:cs="宋体"/>
          <w:color w:val="auto"/>
          <w:sz w:val="28"/>
          <w:szCs w:val="28"/>
          <w:highlight w:val="none"/>
          <w:u w:val="none"/>
        </w:rPr>
        <w:t>（签字或盖章）：</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none"/>
        </w:rPr>
        <w:t xml:space="preserve"> </w:t>
      </w:r>
    </w:p>
    <w:p w14:paraId="45F4B09D">
      <w:pPr>
        <w:keepNext w:val="0"/>
        <w:keepLines w:val="0"/>
        <w:pageBreakBefore w:val="0"/>
        <w:widowControl w:val="0"/>
        <w:kinsoku/>
        <w:wordWrap/>
        <w:overflowPunct/>
        <w:topLinePunct w:val="0"/>
        <w:autoSpaceDE/>
        <w:autoSpaceDN/>
        <w:bidi w:val="0"/>
        <w:adjustRightInd/>
        <w:snapToGrid/>
        <w:spacing w:line="360" w:lineRule="auto"/>
        <w:ind w:firstLine="4760" w:firstLineChars="1700"/>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rPr>
        <w:t xml:space="preserve">日期：  </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none"/>
        </w:rPr>
        <w:t>年</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none"/>
        </w:rPr>
        <w:t>月</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none"/>
        </w:rPr>
        <w:t>日</w:t>
      </w:r>
    </w:p>
    <w:p w14:paraId="0DCFA949">
      <w:pPr>
        <w:pBdr>
          <w:top w:val="none" w:color="000000" w:sz="0" w:space="0"/>
          <w:left w:val="none" w:color="000000" w:sz="0" w:space="0"/>
          <w:bottom w:val="none" w:color="000000" w:sz="0" w:space="0"/>
          <w:right w:val="none" w:color="000000" w:sz="0" w:space="0"/>
        </w:pBdr>
        <w:spacing w:before="100" w:after="100"/>
        <w:rPr>
          <w:rFonts w:hint="eastAsia" w:ascii="宋体" w:hAnsi="宋体" w:eastAsia="宋体" w:cs="宋体"/>
          <w:b/>
          <w:bCs/>
          <w:color w:val="auto"/>
          <w:sz w:val="32"/>
          <w:szCs w:val="32"/>
          <w:highlight w:val="none"/>
          <w:u w:val="none"/>
          <w:lang w:val="en-US" w:eastAsia="zh-CN"/>
        </w:rPr>
      </w:pPr>
    </w:p>
    <w:p w14:paraId="3B2872C7">
      <w:pPr>
        <w:pBdr>
          <w:top w:val="none" w:color="000000" w:sz="0" w:space="0"/>
          <w:left w:val="none" w:color="000000" w:sz="0" w:space="0"/>
          <w:bottom w:val="none" w:color="000000" w:sz="0" w:space="0"/>
          <w:right w:val="none" w:color="000000" w:sz="0" w:space="0"/>
        </w:pBdr>
        <w:spacing w:before="100" w:after="100"/>
        <w:rPr>
          <w:rFonts w:hint="eastAsia" w:ascii="宋体" w:hAnsi="宋体" w:eastAsia="宋体" w:cs="宋体"/>
          <w:b/>
          <w:bCs/>
          <w:color w:val="auto"/>
          <w:sz w:val="32"/>
          <w:szCs w:val="32"/>
          <w:highlight w:val="none"/>
          <w:u w:val="none"/>
          <w:lang w:val="en-US" w:eastAsia="zh-CN"/>
        </w:rPr>
      </w:pPr>
    </w:p>
    <w:p w14:paraId="0531B64A">
      <w:pPr>
        <w:pBdr>
          <w:top w:val="none" w:color="000000" w:sz="0" w:space="0"/>
          <w:left w:val="none" w:color="000000" w:sz="0" w:space="0"/>
          <w:bottom w:val="none" w:color="000000" w:sz="0" w:space="0"/>
          <w:right w:val="none" w:color="000000" w:sz="0" w:space="0"/>
        </w:pBdr>
        <w:spacing w:before="100" w:after="100"/>
        <w:rPr>
          <w:rFonts w:hint="eastAsia" w:ascii="宋体" w:hAnsi="宋体" w:eastAsia="宋体" w:cs="宋体"/>
          <w:iCs/>
          <w:color w:val="auto"/>
          <w:sz w:val="32"/>
          <w:highlight w:val="none"/>
          <w:u w:val="none"/>
        </w:rPr>
      </w:pPr>
    </w:p>
    <w:p w14:paraId="2FBBF1B6">
      <w:pPr>
        <w:pStyle w:val="45"/>
        <w:rPr>
          <w:rFonts w:hint="eastAsia" w:ascii="宋体" w:hAnsi="宋体" w:eastAsia="宋体" w:cs="宋体"/>
          <w:color w:val="auto"/>
          <w:highlight w:val="none"/>
        </w:rPr>
      </w:pPr>
    </w:p>
    <w:p w14:paraId="7D045D68">
      <w:pPr>
        <w:pBdr>
          <w:top w:val="none" w:color="000000" w:sz="0" w:space="0"/>
          <w:left w:val="none" w:color="000000" w:sz="0" w:space="0"/>
          <w:bottom w:val="none" w:color="000000" w:sz="0" w:space="0"/>
          <w:right w:val="none" w:color="000000" w:sz="0" w:space="0"/>
        </w:pBdr>
        <w:spacing w:before="100" w:after="100"/>
        <w:rPr>
          <w:rFonts w:hint="eastAsia" w:ascii="宋体" w:hAnsi="宋体" w:eastAsia="宋体" w:cs="宋体"/>
          <w:iCs/>
          <w:color w:val="auto"/>
          <w:sz w:val="32"/>
          <w:highlight w:val="none"/>
          <w:u w:val="none"/>
        </w:rPr>
      </w:pPr>
      <w:r>
        <w:rPr>
          <w:rFonts w:hint="eastAsia" w:ascii="宋体" w:hAnsi="宋体" w:eastAsia="宋体" w:cs="宋体"/>
          <w:b/>
          <w:bCs/>
          <w:color w:val="auto"/>
          <w:sz w:val="32"/>
          <w:szCs w:val="32"/>
          <w:highlight w:val="none"/>
          <w:u w:val="none"/>
        </w:rPr>
        <w:t>单位负责人为同一人或者存在直接控股、服务关系的不同供应商，不得参加同一合同项下的政府采购活动证明文件</w:t>
      </w:r>
    </w:p>
    <w:p w14:paraId="27A184E8">
      <w:pPr>
        <w:pBdr>
          <w:top w:val="none" w:color="000000" w:sz="0" w:space="0"/>
          <w:left w:val="none" w:color="000000" w:sz="0" w:space="0"/>
          <w:bottom w:val="none" w:color="000000" w:sz="0" w:space="0"/>
          <w:right w:val="none" w:color="000000" w:sz="0" w:space="0"/>
        </w:pBdr>
        <w:spacing w:before="100" w:after="100"/>
        <w:rPr>
          <w:rFonts w:hint="eastAsia" w:ascii="宋体" w:hAnsi="宋体" w:eastAsia="宋体" w:cs="宋体"/>
          <w:iCs/>
          <w:color w:val="auto"/>
          <w:sz w:val="32"/>
          <w:highlight w:val="none"/>
          <w:u w:val="none"/>
        </w:rPr>
      </w:pPr>
    </w:p>
    <w:p w14:paraId="5B39958C">
      <w:pPr>
        <w:pStyle w:val="3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声  明</w:t>
      </w:r>
    </w:p>
    <w:p w14:paraId="12C5AF87">
      <w:pPr>
        <w:pStyle w:val="31"/>
        <w:spacing w:beforeAutospacing="0" w:afterAutospacing="0" w:line="0" w:lineRule="atLeast"/>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我单位不存在：单位负责人为同一人或者存在直接控股、管理关系的不同供应商，同时参加同一合同项下的政府采购活动。</w:t>
      </w:r>
    </w:p>
    <w:p w14:paraId="7DBAF119">
      <w:pPr>
        <w:pStyle w:val="31"/>
        <w:spacing w:beforeAutospacing="0" w:afterAutospacing="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w:t>
      </w:r>
    </w:p>
    <w:p w14:paraId="2655E09D">
      <w:pPr>
        <w:keepNext w:val="0"/>
        <w:keepLines w:val="0"/>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bCs/>
          <w:color w:val="auto"/>
          <w:sz w:val="28"/>
          <w:szCs w:val="28"/>
          <w:highlight w:val="none"/>
          <w:lang w:val="en-US" w:eastAsia="zh-CN"/>
        </w:rPr>
        <w:t xml:space="preserve">                    投标人</w:t>
      </w:r>
      <w:r>
        <w:rPr>
          <w:rFonts w:hint="eastAsia" w:ascii="宋体" w:hAnsi="宋体" w:eastAsia="宋体" w:cs="宋体"/>
          <w:bCs/>
          <w:color w:val="auto"/>
          <w:sz w:val="28"/>
          <w:szCs w:val="28"/>
          <w:highlight w:val="none"/>
        </w:rPr>
        <w:t>名称（公章）：</w:t>
      </w:r>
    </w:p>
    <w:p w14:paraId="037D480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或授权代表人</w:t>
      </w:r>
      <w:r>
        <w:rPr>
          <w:rFonts w:hint="eastAsia" w:ascii="宋体" w:hAnsi="宋体" w:eastAsia="宋体" w:cs="宋体"/>
          <w:color w:val="auto"/>
          <w:sz w:val="28"/>
          <w:szCs w:val="28"/>
          <w:highlight w:val="none"/>
        </w:rPr>
        <w:t>（签字或盖章）：</w:t>
      </w:r>
    </w:p>
    <w:p w14:paraId="7A23F288">
      <w:pPr>
        <w:keepNext w:val="0"/>
        <w:keepLines w:val="0"/>
        <w:pageBreakBefore w:val="0"/>
        <w:widowControl w:val="0"/>
        <w:kinsoku/>
        <w:wordWrap/>
        <w:overflowPunct/>
        <w:topLinePunct w:val="0"/>
        <w:autoSpaceDE/>
        <w:autoSpaceDN/>
        <w:bidi w:val="0"/>
        <w:adjustRightInd/>
        <w:snapToGrid/>
        <w:spacing w:line="360" w:lineRule="auto"/>
        <w:ind w:firstLine="4760" w:firstLineChars="17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14:paraId="78A61278">
      <w:pPr>
        <w:pBdr>
          <w:top w:val="none" w:color="000000" w:sz="0" w:space="0"/>
          <w:left w:val="none" w:color="000000" w:sz="0" w:space="0"/>
          <w:bottom w:val="none" w:color="000000" w:sz="0" w:space="0"/>
          <w:right w:val="none" w:color="000000" w:sz="0" w:space="0"/>
        </w:pBdr>
        <w:spacing w:before="100" w:after="100"/>
        <w:rPr>
          <w:rFonts w:hint="eastAsia" w:ascii="宋体" w:hAnsi="宋体" w:eastAsia="宋体" w:cs="宋体"/>
          <w:iCs/>
          <w:color w:val="auto"/>
          <w:sz w:val="32"/>
          <w:highlight w:val="none"/>
          <w:u w:val="single"/>
        </w:rPr>
      </w:pPr>
    </w:p>
    <w:p w14:paraId="5E83070F">
      <w:pPr>
        <w:pBdr>
          <w:top w:val="none" w:color="000000" w:sz="0" w:space="0"/>
          <w:left w:val="none" w:color="000000" w:sz="0" w:space="0"/>
          <w:bottom w:val="none" w:color="000000" w:sz="0" w:space="0"/>
          <w:right w:val="none" w:color="000000" w:sz="0" w:space="0"/>
        </w:pBdr>
        <w:spacing w:before="100" w:after="100"/>
        <w:rPr>
          <w:rFonts w:hint="eastAsia" w:ascii="宋体" w:hAnsi="宋体" w:eastAsia="宋体" w:cs="宋体"/>
          <w:iCs/>
          <w:color w:val="auto"/>
          <w:sz w:val="32"/>
          <w:highlight w:val="none"/>
          <w:u w:val="single"/>
        </w:rPr>
      </w:pPr>
    </w:p>
    <w:p w14:paraId="7025DD2D">
      <w:pPr>
        <w:keepNext w:val="0"/>
        <w:keepLines w:val="0"/>
        <w:pageBreakBefore w:val="0"/>
        <w:widowControl w:val="0"/>
        <w:kinsoku/>
        <w:wordWrap/>
        <w:overflowPunct/>
        <w:topLinePunct w:val="0"/>
        <w:autoSpaceDE/>
        <w:autoSpaceDN/>
        <w:bidi w:val="0"/>
        <w:adjustRightInd/>
        <w:snapToGrid/>
        <w:spacing w:line="500" w:lineRule="exact"/>
        <w:ind w:left="-525" w:leftChars="-250" w:right="-525" w:rightChars="-250" w:firstLine="643" w:firstLineChars="200"/>
        <w:jc w:val="center"/>
        <w:textAlignment w:val="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法人授权书</w:t>
      </w:r>
    </w:p>
    <w:p w14:paraId="4DB8CA42">
      <w:pPr>
        <w:keepNext w:val="0"/>
        <w:keepLines w:val="0"/>
        <w:pageBreakBefore w:val="0"/>
        <w:widowControl w:val="0"/>
        <w:kinsoku/>
        <w:wordWrap/>
        <w:overflowPunct/>
        <w:topLinePunct w:val="0"/>
        <w:autoSpaceDE/>
        <w:autoSpaceDN/>
        <w:bidi w:val="0"/>
        <w:adjustRightInd/>
        <w:snapToGrid/>
        <w:spacing w:line="520" w:lineRule="atLeast"/>
        <w:ind w:left="-525" w:leftChars="-250" w:right="-525" w:rightChars="-250" w:firstLine="880" w:firstLineChars="200"/>
        <w:jc w:val="center"/>
        <w:textAlignment w:val="auto"/>
        <w:rPr>
          <w:rFonts w:hint="eastAsia" w:ascii="宋体" w:hAnsi="宋体" w:eastAsia="宋体" w:cs="宋体"/>
          <w:color w:val="auto"/>
          <w:sz w:val="44"/>
          <w:highlight w:val="none"/>
        </w:rPr>
      </w:pPr>
    </w:p>
    <w:p w14:paraId="06C01107">
      <w:pPr>
        <w:keepNext w:val="0"/>
        <w:keepLines w:val="0"/>
        <w:pageBreakBefore w:val="0"/>
        <w:widowControl w:val="0"/>
        <w:kinsoku/>
        <w:wordWrap/>
        <w:overflowPunct/>
        <w:topLinePunct w:val="0"/>
        <w:autoSpaceDE/>
        <w:autoSpaceDN/>
        <w:bidi w:val="0"/>
        <w:adjustRightInd/>
        <w:snapToGrid/>
        <w:spacing w:line="520" w:lineRule="atLeast"/>
        <w:ind w:left="-525" w:leftChars="-250" w:right="-525" w:rightChars="-25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（姓名）为我单位的代理人，以本单位的名义参加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项目的投标活动。代理人在开标、评标、合同谈判过程中所签署的一切文件和处理与之有关的一切事务，我均予以承认。代理人无转委托权。</w:t>
      </w:r>
    </w:p>
    <w:p w14:paraId="0A0462D0">
      <w:pPr>
        <w:keepNext w:val="0"/>
        <w:keepLines w:val="0"/>
        <w:pageBreakBefore w:val="0"/>
        <w:widowControl w:val="0"/>
        <w:kinsoku/>
        <w:wordWrap/>
        <w:overflowPunct/>
        <w:topLinePunct w:val="0"/>
        <w:autoSpaceDE/>
        <w:autoSpaceDN/>
        <w:bidi w:val="0"/>
        <w:adjustRightInd/>
        <w:snapToGrid/>
        <w:spacing w:line="520" w:lineRule="atLeast"/>
        <w:ind w:left="-525" w:leftChars="-250" w:right="-525" w:rightChars="-25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特此委托。</w:t>
      </w:r>
    </w:p>
    <w:p w14:paraId="3A4E61D5">
      <w:pPr>
        <w:keepNext w:val="0"/>
        <w:keepLines w:val="0"/>
        <w:pageBreakBefore w:val="0"/>
        <w:widowControl w:val="0"/>
        <w:kinsoku/>
        <w:wordWrap/>
        <w:overflowPunct/>
        <w:topLinePunct w:val="0"/>
        <w:autoSpaceDE/>
        <w:autoSpaceDN/>
        <w:bidi w:val="0"/>
        <w:adjustRightInd/>
        <w:snapToGrid/>
        <w:spacing w:line="520" w:lineRule="atLeast"/>
        <w:ind w:left="-525" w:leftChars="-250" w:right="-525" w:rightChars="-25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代理人姓名：              性别：       身份证号码：</w:t>
      </w:r>
    </w:p>
    <w:p w14:paraId="059A703E">
      <w:pPr>
        <w:keepNext w:val="0"/>
        <w:keepLines w:val="0"/>
        <w:pageBreakBefore w:val="0"/>
        <w:widowControl w:val="0"/>
        <w:kinsoku/>
        <w:wordWrap/>
        <w:overflowPunct/>
        <w:topLinePunct w:val="0"/>
        <w:autoSpaceDE/>
        <w:autoSpaceDN/>
        <w:bidi w:val="0"/>
        <w:adjustRightInd/>
        <w:snapToGrid/>
        <w:spacing w:line="520" w:lineRule="atLeast"/>
        <w:ind w:left="-525" w:leftChars="-250" w:right="-525" w:rightChars="-25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传真：        手机：</w:t>
      </w:r>
    </w:p>
    <w:p w14:paraId="4CB66E81">
      <w:pPr>
        <w:keepNext w:val="0"/>
        <w:keepLines w:val="0"/>
        <w:pageBreakBefore w:val="0"/>
        <w:widowControl w:val="0"/>
        <w:kinsoku/>
        <w:wordWrap/>
        <w:overflowPunct/>
        <w:topLinePunct w:val="0"/>
        <w:autoSpaceDE/>
        <w:autoSpaceDN/>
        <w:bidi w:val="0"/>
        <w:adjustRightInd/>
        <w:snapToGrid/>
        <w:spacing w:line="520" w:lineRule="atLeast"/>
        <w:ind w:left="-525" w:leftChars="-250" w:right="-525" w:rightChars="-250" w:firstLine="480" w:firstLineChars="200"/>
        <w:textAlignment w:val="auto"/>
        <w:rPr>
          <w:rFonts w:hint="eastAsia" w:ascii="宋体" w:hAnsi="宋体" w:eastAsia="宋体" w:cs="宋体"/>
          <w:color w:val="auto"/>
          <w:sz w:val="24"/>
          <w:highlight w:val="none"/>
        </w:rPr>
      </w:pPr>
    </w:p>
    <w:p w14:paraId="4670B1BC">
      <w:pPr>
        <w:keepNext w:val="0"/>
        <w:keepLines w:val="0"/>
        <w:pageBreakBefore w:val="0"/>
        <w:widowControl w:val="0"/>
        <w:kinsoku/>
        <w:wordWrap/>
        <w:overflowPunct/>
        <w:topLinePunct w:val="0"/>
        <w:autoSpaceDE/>
        <w:autoSpaceDN/>
        <w:bidi w:val="0"/>
        <w:adjustRightInd/>
        <w:snapToGrid/>
        <w:spacing w:line="520" w:lineRule="atLeast"/>
        <w:ind w:left="-525" w:leftChars="-250" w:right="-525" w:rightChars="-250" w:firstLine="480" w:firstLineChars="200"/>
        <w:textAlignment w:val="auto"/>
        <w:rPr>
          <w:rFonts w:hint="eastAsia" w:ascii="宋体" w:hAnsi="宋体" w:eastAsia="宋体" w:cs="宋体"/>
          <w:color w:val="auto"/>
          <w:sz w:val="24"/>
          <w:highlight w:val="none"/>
        </w:rPr>
      </w:pPr>
    </w:p>
    <w:p w14:paraId="7D684BB6">
      <w:pPr>
        <w:keepNext w:val="0"/>
        <w:keepLines w:val="0"/>
        <w:pageBreakBefore w:val="0"/>
        <w:widowControl w:val="0"/>
        <w:tabs>
          <w:tab w:val="left" w:pos="2730"/>
        </w:tabs>
        <w:kinsoku/>
        <w:wordWrap/>
        <w:overflowPunct/>
        <w:topLinePunct w:val="0"/>
        <w:autoSpaceDE/>
        <w:autoSpaceDN/>
        <w:bidi w:val="0"/>
        <w:adjustRightInd/>
        <w:snapToGrid/>
        <w:ind w:left="-525" w:leftChars="-250" w:right="-525" w:rightChars="-250" w:firstLine="422" w:firstLineChars="200"/>
        <w:textAlignment w:val="auto"/>
        <w:rPr>
          <w:rFonts w:hint="eastAsia" w:ascii="宋体" w:hAnsi="宋体" w:eastAsia="宋体" w:cs="宋体"/>
          <w:b/>
          <w:color w:val="auto"/>
          <w:sz w:val="22"/>
          <w:szCs w:val="28"/>
          <w:highlight w:val="none"/>
        </w:rPr>
      </w:pPr>
      <w:r>
        <w:rPr>
          <w:rFonts w:hint="eastAsia" w:ascii="宋体" w:hAnsi="宋体" w:eastAsia="宋体" w:cs="宋体"/>
          <w:b/>
          <w:color w:val="auto"/>
          <w:highlight w:val="none"/>
        </w:rPr>
        <w:t>委托代理人身份证复印件（正反两面）粘贴处：</w:t>
      </w:r>
    </w:p>
    <w:tbl>
      <w:tblPr>
        <w:tblStyle w:val="38"/>
        <w:tblpPr w:leftFromText="180" w:rightFromText="180" w:vertAnchor="text" w:horzAnchor="margin" w:tblpY="307"/>
        <w:tblW w:w="4230" w:type="dxa"/>
        <w:tblInd w:w="0" w:type="dxa"/>
        <w:tblBorders>
          <w:top w:val="dotted" w:color="auto" w:sz="4" w:space="0"/>
          <w:left w:val="dotted" w:color="auto" w:sz="4" w:space="0"/>
          <w:bottom w:val="dotted" w:color="auto" w:sz="4" w:space="0"/>
          <w:right w:val="dotted" w:color="auto" w:sz="4" w:space="0"/>
          <w:insideH w:val="none" w:color="auto" w:sz="0" w:space="0"/>
          <w:insideV w:val="none" w:color="auto" w:sz="0" w:space="0"/>
        </w:tblBorders>
        <w:tblLayout w:type="fixed"/>
        <w:tblCellMar>
          <w:top w:w="0" w:type="dxa"/>
          <w:left w:w="108" w:type="dxa"/>
          <w:bottom w:w="0" w:type="dxa"/>
          <w:right w:w="108" w:type="dxa"/>
        </w:tblCellMar>
      </w:tblPr>
      <w:tblGrid>
        <w:gridCol w:w="3994"/>
        <w:gridCol w:w="236"/>
      </w:tblGrid>
      <w:tr w14:paraId="26F3B293">
        <w:tblPrEx>
          <w:tblBorders>
            <w:top w:val="dotted" w:color="auto" w:sz="4" w:space="0"/>
            <w:left w:val="dotted" w:color="auto" w:sz="4" w:space="0"/>
            <w:bottom w:val="dotted" w:color="auto" w:sz="4" w:space="0"/>
            <w:right w:val="dotted" w:color="auto" w:sz="4" w:space="0"/>
            <w:insideH w:val="none" w:color="auto" w:sz="0" w:space="0"/>
            <w:insideV w:val="none" w:color="auto" w:sz="0" w:space="0"/>
          </w:tblBorders>
          <w:tblCellMar>
            <w:top w:w="0" w:type="dxa"/>
            <w:left w:w="108" w:type="dxa"/>
            <w:bottom w:w="0" w:type="dxa"/>
            <w:right w:w="108" w:type="dxa"/>
          </w:tblCellMar>
        </w:tblPrEx>
        <w:trPr>
          <w:trHeight w:val="2665" w:hRule="atLeast"/>
        </w:trPr>
        <w:tc>
          <w:tcPr>
            <w:tcW w:w="3994" w:type="dxa"/>
            <w:vAlign w:val="center"/>
          </w:tcPr>
          <w:p w14:paraId="3FC6231D">
            <w:pPr>
              <w:keepNext w:val="0"/>
              <w:keepLines w:val="0"/>
              <w:pageBreakBefore w:val="0"/>
              <w:widowControl w:val="0"/>
              <w:tabs>
                <w:tab w:val="left" w:pos="2730"/>
              </w:tabs>
              <w:kinsoku/>
              <w:wordWrap/>
              <w:overflowPunct/>
              <w:topLinePunct w:val="0"/>
              <w:autoSpaceDE/>
              <w:autoSpaceDN/>
              <w:bidi w:val="0"/>
              <w:adjustRightInd/>
              <w:snapToGrid/>
              <w:ind w:left="-525" w:leftChars="-250" w:right="-525" w:rightChars="-250" w:firstLine="420" w:firstLineChars="20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正面</w:t>
            </w:r>
          </w:p>
        </w:tc>
        <w:tc>
          <w:tcPr>
            <w:tcW w:w="236" w:type="dxa"/>
            <w:vAlign w:val="top"/>
          </w:tcPr>
          <w:p w14:paraId="5551279C">
            <w:pPr>
              <w:keepNext w:val="0"/>
              <w:keepLines w:val="0"/>
              <w:pageBreakBefore w:val="0"/>
              <w:widowControl w:val="0"/>
              <w:kinsoku/>
              <w:wordWrap/>
              <w:overflowPunct/>
              <w:topLinePunct w:val="0"/>
              <w:autoSpaceDE/>
              <w:autoSpaceDN/>
              <w:bidi w:val="0"/>
              <w:adjustRightInd/>
              <w:snapToGrid/>
              <w:spacing w:line="500" w:lineRule="exact"/>
              <w:ind w:left="-525" w:leftChars="-250" w:right="-525" w:rightChars="-250" w:firstLine="560" w:firstLineChars="200"/>
              <w:jc w:val="left"/>
              <w:textAlignment w:val="auto"/>
              <w:rPr>
                <w:rFonts w:hint="eastAsia" w:ascii="宋体" w:hAnsi="宋体" w:eastAsia="宋体" w:cs="宋体"/>
                <w:color w:val="auto"/>
                <w:sz w:val="28"/>
                <w:szCs w:val="20"/>
                <w:highlight w:val="none"/>
              </w:rPr>
            </w:pPr>
          </w:p>
        </w:tc>
      </w:tr>
    </w:tbl>
    <w:p w14:paraId="3114C67D">
      <w:pPr>
        <w:keepNext w:val="0"/>
        <w:keepLines w:val="0"/>
        <w:pageBreakBefore w:val="0"/>
        <w:widowControl w:val="0"/>
        <w:kinsoku/>
        <w:wordWrap/>
        <w:overflowPunct/>
        <w:topLinePunct w:val="0"/>
        <w:autoSpaceDE/>
        <w:autoSpaceDN/>
        <w:bidi w:val="0"/>
        <w:adjustRightInd/>
        <w:snapToGrid/>
        <w:ind w:left="-525" w:leftChars="-250" w:right="-525" w:rightChars="-250" w:firstLine="420" w:firstLineChars="200"/>
        <w:textAlignment w:val="auto"/>
        <w:rPr>
          <w:rFonts w:hint="eastAsia" w:ascii="宋体" w:hAnsi="宋体" w:eastAsia="宋体" w:cs="宋体"/>
          <w:vanish/>
          <w:color w:val="auto"/>
          <w:highlight w:val="none"/>
        </w:rPr>
      </w:pPr>
    </w:p>
    <w:tbl>
      <w:tblPr>
        <w:tblStyle w:val="38"/>
        <w:tblpPr w:leftFromText="180" w:rightFromText="180" w:vertAnchor="text" w:horzAnchor="page" w:tblpX="6166" w:tblpY="344"/>
        <w:tblW w:w="4230" w:type="dxa"/>
        <w:tblInd w:w="0" w:type="dxa"/>
        <w:tblBorders>
          <w:top w:val="dotted" w:color="auto" w:sz="4" w:space="0"/>
          <w:left w:val="dotted" w:color="auto" w:sz="4" w:space="0"/>
          <w:bottom w:val="dotted" w:color="auto" w:sz="4" w:space="0"/>
          <w:right w:val="dotted" w:color="auto" w:sz="4" w:space="0"/>
          <w:insideH w:val="none" w:color="auto" w:sz="0" w:space="0"/>
          <w:insideV w:val="none" w:color="auto" w:sz="0" w:space="0"/>
        </w:tblBorders>
        <w:tblLayout w:type="fixed"/>
        <w:tblCellMar>
          <w:top w:w="0" w:type="dxa"/>
          <w:left w:w="108" w:type="dxa"/>
          <w:bottom w:w="0" w:type="dxa"/>
          <w:right w:w="108" w:type="dxa"/>
        </w:tblCellMar>
      </w:tblPr>
      <w:tblGrid>
        <w:gridCol w:w="3990"/>
        <w:gridCol w:w="240"/>
      </w:tblGrid>
      <w:tr w14:paraId="6E129D0E">
        <w:tblPrEx>
          <w:tblBorders>
            <w:top w:val="dotted" w:color="auto" w:sz="4" w:space="0"/>
            <w:left w:val="dotted" w:color="auto" w:sz="4" w:space="0"/>
            <w:bottom w:val="dotted" w:color="auto" w:sz="4" w:space="0"/>
            <w:right w:val="dotted" w:color="auto" w:sz="4" w:space="0"/>
            <w:insideH w:val="none" w:color="auto" w:sz="0" w:space="0"/>
            <w:insideV w:val="none" w:color="auto" w:sz="0" w:space="0"/>
          </w:tblBorders>
          <w:tblCellMar>
            <w:top w:w="0" w:type="dxa"/>
            <w:left w:w="108" w:type="dxa"/>
            <w:bottom w:w="0" w:type="dxa"/>
            <w:right w:w="108" w:type="dxa"/>
          </w:tblCellMar>
        </w:tblPrEx>
        <w:trPr>
          <w:trHeight w:val="2665" w:hRule="atLeast"/>
        </w:trPr>
        <w:tc>
          <w:tcPr>
            <w:tcW w:w="3990" w:type="dxa"/>
            <w:vAlign w:val="center"/>
          </w:tcPr>
          <w:p w14:paraId="6F555D42">
            <w:pPr>
              <w:keepNext w:val="0"/>
              <w:keepLines w:val="0"/>
              <w:pageBreakBefore w:val="0"/>
              <w:widowControl w:val="0"/>
              <w:tabs>
                <w:tab w:val="left" w:pos="2730"/>
              </w:tabs>
              <w:kinsoku/>
              <w:wordWrap/>
              <w:overflowPunct/>
              <w:topLinePunct w:val="0"/>
              <w:autoSpaceDE/>
              <w:autoSpaceDN/>
              <w:bidi w:val="0"/>
              <w:adjustRightInd/>
              <w:snapToGrid/>
              <w:ind w:left="-525" w:leftChars="-250" w:right="-525" w:rightChars="-250" w:firstLine="420" w:firstLineChars="20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反面</w:t>
            </w:r>
          </w:p>
        </w:tc>
        <w:tc>
          <w:tcPr>
            <w:tcW w:w="240" w:type="dxa"/>
            <w:vAlign w:val="top"/>
          </w:tcPr>
          <w:p w14:paraId="0B222BA1">
            <w:pPr>
              <w:keepNext w:val="0"/>
              <w:keepLines w:val="0"/>
              <w:pageBreakBefore w:val="0"/>
              <w:widowControl w:val="0"/>
              <w:kinsoku/>
              <w:wordWrap/>
              <w:overflowPunct/>
              <w:topLinePunct w:val="0"/>
              <w:autoSpaceDE/>
              <w:autoSpaceDN/>
              <w:bidi w:val="0"/>
              <w:adjustRightInd/>
              <w:snapToGrid/>
              <w:spacing w:line="500" w:lineRule="exact"/>
              <w:ind w:left="-525" w:leftChars="-250" w:right="-525" w:rightChars="-250" w:firstLine="560" w:firstLineChars="200"/>
              <w:jc w:val="left"/>
              <w:textAlignment w:val="auto"/>
              <w:rPr>
                <w:rFonts w:hint="eastAsia" w:ascii="宋体" w:hAnsi="宋体" w:eastAsia="宋体" w:cs="宋体"/>
                <w:color w:val="auto"/>
                <w:sz w:val="28"/>
                <w:szCs w:val="20"/>
                <w:highlight w:val="none"/>
              </w:rPr>
            </w:pPr>
          </w:p>
        </w:tc>
      </w:tr>
    </w:tbl>
    <w:p w14:paraId="67B33213">
      <w:pPr>
        <w:keepNext w:val="0"/>
        <w:keepLines w:val="0"/>
        <w:pageBreakBefore w:val="0"/>
        <w:widowControl w:val="0"/>
        <w:kinsoku/>
        <w:wordWrap/>
        <w:overflowPunct/>
        <w:topLinePunct w:val="0"/>
        <w:autoSpaceDE/>
        <w:autoSpaceDN/>
        <w:bidi w:val="0"/>
        <w:adjustRightInd/>
        <w:snapToGrid/>
        <w:spacing w:line="520" w:lineRule="atLeast"/>
        <w:ind w:left="-525" w:leftChars="-250" w:right="-525" w:rightChars="-250" w:firstLine="480" w:firstLineChars="20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4"/>
          <w:highlight w:val="none"/>
        </w:rPr>
        <w:t xml:space="preserve">                                 </w:t>
      </w:r>
    </w:p>
    <w:p w14:paraId="58A253F8">
      <w:pPr>
        <w:keepNext w:val="0"/>
        <w:keepLines w:val="0"/>
        <w:pageBreakBefore w:val="0"/>
        <w:widowControl w:val="0"/>
        <w:kinsoku/>
        <w:wordWrap/>
        <w:overflowPunct/>
        <w:topLinePunct w:val="0"/>
        <w:autoSpaceDE/>
        <w:autoSpaceDN/>
        <w:bidi w:val="0"/>
        <w:adjustRightInd/>
        <w:snapToGrid/>
        <w:spacing w:line="520" w:lineRule="atLeast"/>
        <w:ind w:left="-525" w:leftChars="-250" w:right="-525" w:rightChars="-250" w:firstLine="440" w:firstLineChars="20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投标人</w:t>
      </w:r>
      <w:r>
        <w:rPr>
          <w:rFonts w:hint="eastAsia" w:ascii="宋体" w:hAnsi="宋体" w:eastAsia="宋体" w:cs="宋体"/>
          <w:color w:val="auto"/>
          <w:sz w:val="22"/>
          <w:szCs w:val="22"/>
          <w:highlight w:val="none"/>
          <w:lang w:val="en-US" w:eastAsia="zh-CN"/>
        </w:rPr>
        <w:t>名称</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公章</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                 </w:t>
      </w:r>
    </w:p>
    <w:p w14:paraId="24452D61">
      <w:pPr>
        <w:keepNext w:val="0"/>
        <w:keepLines w:val="0"/>
        <w:pageBreakBefore w:val="0"/>
        <w:widowControl w:val="0"/>
        <w:kinsoku/>
        <w:wordWrap/>
        <w:overflowPunct/>
        <w:topLinePunct w:val="0"/>
        <w:autoSpaceDE/>
        <w:autoSpaceDN/>
        <w:bidi w:val="0"/>
        <w:adjustRightInd/>
        <w:snapToGrid/>
        <w:spacing w:line="520" w:lineRule="atLeast"/>
        <w:ind w:left="-525" w:leftChars="-250" w:right="-525" w:rightChars="-250" w:firstLine="440" w:firstLineChars="200"/>
        <w:jc w:val="center"/>
        <w:textAlignment w:val="auto"/>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法定代表人（签字或盖章）：</w:t>
      </w:r>
      <w:r>
        <w:rPr>
          <w:rFonts w:hint="eastAsia" w:ascii="宋体" w:hAnsi="宋体" w:eastAsia="宋体" w:cs="宋体"/>
          <w:color w:val="auto"/>
          <w:sz w:val="22"/>
          <w:szCs w:val="22"/>
          <w:highlight w:val="none"/>
          <w:u w:val="single"/>
          <w:lang w:val="en-US" w:eastAsia="zh-CN"/>
        </w:rPr>
        <w:t xml:space="preserve">             </w:t>
      </w:r>
    </w:p>
    <w:p w14:paraId="30C9EAE8">
      <w:pPr>
        <w:keepNext w:val="0"/>
        <w:keepLines w:val="0"/>
        <w:pageBreakBefore w:val="0"/>
        <w:widowControl w:val="0"/>
        <w:kinsoku/>
        <w:wordWrap/>
        <w:overflowPunct/>
        <w:topLinePunct w:val="0"/>
        <w:autoSpaceDE/>
        <w:autoSpaceDN/>
        <w:bidi w:val="0"/>
        <w:adjustRightInd/>
        <w:snapToGrid/>
        <w:spacing w:line="600" w:lineRule="exact"/>
        <w:ind w:left="-525" w:leftChars="-250" w:right="-525" w:rightChars="-25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日期：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日</w:t>
      </w:r>
    </w:p>
    <w:p w14:paraId="00AE01DD">
      <w:pPr>
        <w:pStyle w:val="44"/>
        <w:ind w:left="0" w:leftChars="0" w:firstLine="0" w:firstLineChars="0"/>
        <w:rPr>
          <w:rFonts w:hint="eastAsia" w:ascii="宋体" w:hAnsi="宋体" w:eastAsia="宋体" w:cs="宋体"/>
          <w:iCs/>
          <w:color w:val="auto"/>
          <w:sz w:val="28"/>
          <w:szCs w:val="28"/>
          <w:highlight w:val="none"/>
        </w:rPr>
      </w:pPr>
    </w:p>
    <w:p w14:paraId="09C8FB82">
      <w:pPr>
        <w:pStyle w:val="12"/>
        <w:rPr>
          <w:rFonts w:hint="eastAsia" w:ascii="宋体" w:hAnsi="宋体" w:eastAsia="宋体" w:cs="宋体"/>
          <w:color w:val="auto"/>
          <w:highlight w:val="none"/>
        </w:rPr>
      </w:pPr>
    </w:p>
    <w:p w14:paraId="77C9AB51">
      <w:pPr>
        <w:snapToGrid w:val="0"/>
        <w:spacing w:before="50" w:after="50"/>
        <w:ind w:firstLine="3213" w:firstLineChars="1000"/>
        <w:jc w:val="both"/>
        <w:rPr>
          <w:rFonts w:hint="eastAsia" w:ascii="宋体" w:hAnsi="宋体" w:eastAsia="宋体" w:cs="宋体"/>
          <w:b/>
          <w:bCs/>
          <w:color w:val="auto"/>
          <w:sz w:val="32"/>
          <w:szCs w:val="32"/>
          <w:highlight w:val="none"/>
        </w:rPr>
      </w:pPr>
    </w:p>
    <w:p w14:paraId="0FD96A5B">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D11207F">
      <w:pPr>
        <w:spacing w:line="500" w:lineRule="exact"/>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中小企业声明函（服务）</w:t>
      </w:r>
    </w:p>
    <w:p w14:paraId="70EA3BB8">
      <w:pPr>
        <w:widowControl/>
        <w:spacing w:before="100" w:after="100"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本公司（联合体）郑重声明，根据《政府采购促进中小企业发展管理办法》(财库[2020]46号)的规定，本公司（联合体）参加</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单位的采购文件编号为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p>
    <w:p w14:paraId="222946D1">
      <w:pPr>
        <w:widowControl/>
        <w:spacing w:before="100" w:after="100" w:line="500" w:lineRule="exact"/>
        <w:ind w:firstLine="360"/>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1.</w:t>
      </w:r>
      <w:r>
        <w:rPr>
          <w:rFonts w:hint="eastAsia" w:ascii="宋体" w:hAnsi="宋体" w:eastAsia="宋体" w:cs="宋体"/>
          <w:i w:val="0"/>
          <w:iCs w:val="0"/>
          <w:color w:val="auto"/>
          <w:sz w:val="24"/>
          <w:highlight w:val="none"/>
          <w:u w:val="single"/>
        </w:rPr>
        <w:t>（标的名称）</w:t>
      </w:r>
      <w:r>
        <w:rPr>
          <w:rFonts w:hint="eastAsia" w:ascii="宋体" w:hAnsi="宋体" w:eastAsia="宋体" w:cs="宋体"/>
          <w:i w:val="0"/>
          <w:iCs w:val="0"/>
          <w:color w:val="auto"/>
          <w:sz w:val="24"/>
          <w:highlight w:val="none"/>
        </w:rPr>
        <w:t>，属于</w:t>
      </w:r>
      <w:r>
        <w:rPr>
          <w:rFonts w:hint="eastAsia" w:ascii="宋体" w:hAnsi="宋体" w:eastAsia="宋体" w:cs="宋体"/>
          <w:i w:val="0"/>
          <w:iCs w:val="0"/>
          <w:color w:val="auto"/>
          <w:sz w:val="24"/>
          <w:highlight w:val="none"/>
          <w:u w:val="single"/>
        </w:rPr>
        <w:t> </w:t>
      </w:r>
      <w:r>
        <w:rPr>
          <w:rFonts w:hint="eastAsia" w:ascii="宋体" w:hAnsi="宋体" w:eastAsia="宋体" w:cs="宋体"/>
          <w:i w:val="0"/>
          <w:iCs w:val="0"/>
          <w:color w:val="auto"/>
          <w:sz w:val="24"/>
          <w:highlight w:val="none"/>
          <w:u w:val="single"/>
          <w:lang w:val="en-US" w:eastAsia="zh-CN"/>
        </w:rPr>
        <w:t>其他未列明</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行业；承接企业为</w:t>
      </w:r>
      <w:r>
        <w:rPr>
          <w:rFonts w:hint="eastAsia" w:ascii="宋体" w:hAnsi="宋体" w:eastAsia="宋体" w:cs="宋体"/>
          <w:i w:val="0"/>
          <w:iCs w:val="0"/>
          <w:color w:val="auto"/>
          <w:sz w:val="24"/>
          <w:highlight w:val="none"/>
          <w:u w:val="single"/>
        </w:rPr>
        <w:t>（企业名称）</w:t>
      </w:r>
      <w:r>
        <w:rPr>
          <w:rFonts w:hint="eastAsia" w:ascii="宋体" w:hAnsi="宋体" w:eastAsia="宋体" w:cs="宋体"/>
          <w:i w:val="0"/>
          <w:iCs w:val="0"/>
          <w:color w:val="auto"/>
          <w:sz w:val="24"/>
          <w:highlight w:val="none"/>
        </w:rPr>
        <w:t>，从业人员</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人，营业收入为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万元，资产总额为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w:t>
      </w:r>
      <w:r>
        <w:rPr>
          <w:rFonts w:hint="eastAsia" w:ascii="宋体" w:hAnsi="宋体" w:eastAsia="宋体" w:cs="宋体"/>
          <w:i w:val="0"/>
          <w:iCs w:val="0"/>
          <w:color w:val="auto"/>
          <w:sz w:val="24"/>
          <w:highlight w:val="none"/>
          <w:vertAlign w:val="superscript"/>
        </w:rPr>
        <w:t>1</w:t>
      </w:r>
      <w:r>
        <w:rPr>
          <w:rFonts w:hint="eastAsia" w:ascii="宋体" w:hAnsi="宋体" w:eastAsia="宋体" w:cs="宋体"/>
          <w:i w:val="0"/>
          <w:iCs w:val="0"/>
          <w:color w:val="auto"/>
          <w:sz w:val="24"/>
          <w:highlight w:val="none"/>
        </w:rPr>
        <w:t>，属于</w:t>
      </w:r>
      <w:r>
        <w:rPr>
          <w:rFonts w:hint="eastAsia" w:ascii="宋体" w:hAnsi="宋体" w:eastAsia="宋体" w:cs="宋体"/>
          <w:i w:val="0"/>
          <w:iCs w:val="0"/>
          <w:color w:val="auto"/>
          <w:sz w:val="24"/>
          <w:highlight w:val="none"/>
          <w:u w:val="single"/>
        </w:rPr>
        <w:t>（中型企业、小型企业、微型企业）；</w:t>
      </w:r>
    </w:p>
    <w:p w14:paraId="78227A09">
      <w:pPr>
        <w:widowControl/>
        <w:spacing w:before="100" w:after="100" w:line="500" w:lineRule="exact"/>
        <w:ind w:firstLine="360"/>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2.</w:t>
      </w:r>
      <w:r>
        <w:rPr>
          <w:rFonts w:hint="eastAsia" w:ascii="宋体" w:hAnsi="宋体" w:eastAsia="宋体" w:cs="宋体"/>
          <w:i w:val="0"/>
          <w:iCs w:val="0"/>
          <w:color w:val="auto"/>
          <w:sz w:val="24"/>
          <w:highlight w:val="none"/>
          <w:u w:val="single"/>
        </w:rPr>
        <w:t>（标的名称）</w:t>
      </w:r>
      <w:r>
        <w:rPr>
          <w:rFonts w:hint="eastAsia" w:ascii="宋体" w:hAnsi="宋体" w:eastAsia="宋体" w:cs="宋体"/>
          <w:i w:val="0"/>
          <w:iCs w:val="0"/>
          <w:color w:val="auto"/>
          <w:sz w:val="24"/>
          <w:highlight w:val="none"/>
        </w:rPr>
        <w:t>，属于</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行业；承接企业为</w:t>
      </w:r>
      <w:r>
        <w:rPr>
          <w:rFonts w:hint="eastAsia" w:ascii="宋体" w:hAnsi="宋体" w:eastAsia="宋体" w:cs="宋体"/>
          <w:i w:val="0"/>
          <w:iCs w:val="0"/>
          <w:color w:val="auto"/>
          <w:sz w:val="24"/>
          <w:highlight w:val="none"/>
          <w:u w:val="single"/>
        </w:rPr>
        <w:t>（企业名称）</w:t>
      </w:r>
      <w:r>
        <w:rPr>
          <w:rFonts w:hint="eastAsia" w:ascii="宋体" w:hAnsi="宋体" w:eastAsia="宋体" w:cs="宋体"/>
          <w:i w:val="0"/>
          <w:iCs w:val="0"/>
          <w:color w:val="auto"/>
          <w:sz w:val="24"/>
          <w:highlight w:val="none"/>
        </w:rPr>
        <w:t>，从业人员</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人，营业收入为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万元，资产总额为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w:t>
      </w:r>
      <w:r>
        <w:rPr>
          <w:rFonts w:hint="eastAsia" w:ascii="宋体" w:hAnsi="宋体" w:eastAsia="宋体" w:cs="宋体"/>
          <w:i w:val="0"/>
          <w:iCs w:val="0"/>
          <w:color w:val="auto"/>
          <w:sz w:val="24"/>
          <w:highlight w:val="none"/>
          <w:vertAlign w:val="superscript"/>
        </w:rPr>
        <w:t>1</w:t>
      </w:r>
      <w:r>
        <w:rPr>
          <w:rFonts w:hint="eastAsia" w:ascii="宋体" w:hAnsi="宋体" w:eastAsia="宋体" w:cs="宋体"/>
          <w:i w:val="0"/>
          <w:iCs w:val="0"/>
          <w:color w:val="auto"/>
          <w:sz w:val="24"/>
          <w:highlight w:val="none"/>
        </w:rPr>
        <w:t>，属于</w:t>
      </w:r>
      <w:r>
        <w:rPr>
          <w:rFonts w:hint="eastAsia" w:ascii="宋体" w:hAnsi="宋体" w:eastAsia="宋体" w:cs="宋体"/>
          <w:i w:val="0"/>
          <w:iCs w:val="0"/>
          <w:color w:val="auto"/>
          <w:sz w:val="24"/>
          <w:highlight w:val="none"/>
          <w:u w:val="single"/>
        </w:rPr>
        <w:t>（中型企业、小型企业、微型企业）；</w:t>
      </w:r>
    </w:p>
    <w:p w14:paraId="6821EF32">
      <w:pPr>
        <w:widowControl/>
        <w:spacing w:before="100" w:after="100" w:line="50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14:paraId="02FB1C6C">
      <w:pPr>
        <w:widowControl/>
        <w:spacing w:before="100" w:after="100" w:line="50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31D926AC">
      <w:pPr>
        <w:widowControl/>
        <w:spacing w:before="100" w:after="100" w:line="50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本企业对上述声明内容的真实性负责。如有虚假，将依法承担相应责任。</w:t>
      </w:r>
    </w:p>
    <w:p w14:paraId="37004288">
      <w:pPr>
        <w:widowControl/>
        <w:spacing w:before="100" w:after="100" w:line="500" w:lineRule="exact"/>
        <w:ind w:right="180" w:firstLine="360"/>
        <w:jc w:val="right"/>
        <w:rPr>
          <w:rFonts w:hint="eastAsia" w:ascii="宋体" w:hAnsi="宋体" w:eastAsia="宋体" w:cs="宋体"/>
          <w:color w:val="auto"/>
          <w:sz w:val="24"/>
          <w:highlight w:val="none"/>
        </w:rPr>
      </w:pPr>
    </w:p>
    <w:p w14:paraId="7A7CCE57">
      <w:pPr>
        <w:widowControl/>
        <w:spacing w:before="100" w:after="100" w:line="500" w:lineRule="exact"/>
        <w:ind w:right="180" w:firstLine="3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企业名称（公章）：</w:t>
      </w:r>
    </w:p>
    <w:p w14:paraId="19338CEB">
      <w:pPr>
        <w:widowControl/>
        <w:spacing w:before="100" w:after="100" w:line="500" w:lineRule="exact"/>
        <w:ind w:right="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  期：</w:t>
      </w:r>
    </w:p>
    <w:p w14:paraId="5BFB7605">
      <w:pPr>
        <w:spacing w:line="500"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备注1：从业人员、营业收入、资产总额填报上一年度数据，无上一年度数据的新成立企业可不填报。</w:t>
      </w:r>
    </w:p>
    <w:p w14:paraId="07C4FC61">
      <w:pPr>
        <w:spacing w:line="500" w:lineRule="exact"/>
        <w:ind w:firstLine="480"/>
        <w:rPr>
          <w:rFonts w:hint="eastAsia" w:ascii="宋体" w:hAnsi="宋体" w:eastAsia="宋体" w:cs="宋体"/>
          <w:i/>
          <w:color w:val="auto"/>
          <w:sz w:val="32"/>
          <w:szCs w:val="32"/>
          <w:highlight w:val="none"/>
          <w:u w:val="single"/>
        </w:rPr>
      </w:pPr>
      <w:r>
        <w:rPr>
          <w:rFonts w:hint="eastAsia" w:ascii="宋体" w:hAnsi="宋体" w:eastAsia="宋体" w:cs="宋体"/>
          <w:color w:val="auto"/>
          <w:sz w:val="24"/>
          <w:szCs w:val="21"/>
          <w:highlight w:val="none"/>
        </w:rPr>
        <w:t>备注2：供应商如不提供此声明函，价格将不做相应扣除（如项目全面面向中小企业，则资格审查不通过）。</w:t>
      </w:r>
    </w:p>
    <w:p w14:paraId="59B5108C">
      <w:pPr>
        <w:rPr>
          <w:rFonts w:hint="eastAsia" w:ascii="宋体" w:hAnsi="宋体" w:eastAsia="宋体" w:cs="宋体"/>
          <w:color w:val="auto"/>
          <w:szCs w:val="21"/>
          <w:highlight w:val="none"/>
        </w:rPr>
      </w:pPr>
      <w:r>
        <w:rPr>
          <w:rFonts w:hint="eastAsia" w:ascii="宋体" w:hAnsi="宋体" w:eastAsia="宋体" w:cs="宋体"/>
          <w:b/>
          <w:color w:val="auto"/>
          <w:sz w:val="32"/>
          <w:szCs w:val="32"/>
          <w:highlight w:val="none"/>
        </w:rPr>
        <w:br w:type="page" w:clear="all"/>
      </w:r>
    </w:p>
    <w:p w14:paraId="2090B0FA">
      <w:pPr>
        <w:widowControl/>
        <w:spacing w:before="100" w:after="100"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残疾人福利性单位声明函</w:t>
      </w:r>
    </w:p>
    <w:p w14:paraId="039FC516">
      <w:pPr>
        <w:widowControl/>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单位的采购文件编号为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采购活动由本单位提供服务。</w:t>
      </w:r>
    </w:p>
    <w:p w14:paraId="6F8576E9">
      <w:pPr>
        <w:widowControl/>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355A32E1">
      <w:pPr>
        <w:widowControl/>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04A9644E">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备注：1、供应商如不提供此声明函，价格将不做相应扣除</w:t>
      </w:r>
      <w:r>
        <w:rPr>
          <w:rFonts w:hint="eastAsia" w:ascii="宋体" w:hAnsi="宋体" w:eastAsia="宋体" w:cs="宋体"/>
          <w:color w:val="auto"/>
          <w:sz w:val="24"/>
          <w:szCs w:val="21"/>
          <w:highlight w:val="none"/>
        </w:rPr>
        <w:t>（如项目全面面向中小企业，则资格审查不通过）</w:t>
      </w:r>
      <w:r>
        <w:rPr>
          <w:rFonts w:hint="eastAsia" w:ascii="宋体" w:hAnsi="宋体" w:eastAsia="宋体" w:cs="宋体"/>
          <w:color w:val="auto"/>
          <w:sz w:val="24"/>
          <w:highlight w:val="none"/>
        </w:rPr>
        <w:t>。2、中标人为残疾人福利单位的，此声明函将随中标结果同时公告，接受社会监督</w:t>
      </w:r>
    </w:p>
    <w:p w14:paraId="773A613F">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2BCF2029">
      <w:pPr>
        <w:widowControl/>
        <w:spacing w:before="100" w:after="100" w:line="360" w:lineRule="auto"/>
        <w:ind w:firstLine="624"/>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0739BD45">
      <w:pPr>
        <w:widowControl/>
        <w:tabs>
          <w:tab w:val="left" w:pos="4864"/>
        </w:tabs>
        <w:spacing w:before="100" w:after="100" w:line="500" w:lineRule="exact"/>
        <w:ind w:right="1559" w:firstLine="482"/>
        <w:jc w:val="center"/>
        <w:rPr>
          <w:rFonts w:hint="eastAsia" w:ascii="宋体" w:hAnsi="宋体" w:eastAsia="宋体" w:cs="宋体"/>
          <w:color w:val="auto"/>
          <w:sz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sz w:val="24"/>
          <w:highlight w:val="none"/>
        </w:rPr>
        <w:t>供应商全称（公章）：</w:t>
      </w:r>
    </w:p>
    <w:p w14:paraId="1C66C2DB">
      <w:pPr>
        <w:widowControl/>
        <w:tabs>
          <w:tab w:val="left" w:pos="4864"/>
        </w:tabs>
        <w:spacing w:before="100" w:after="100" w:line="500" w:lineRule="exact"/>
        <w:ind w:right="1559" w:firstLine="48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  期：</w:t>
      </w:r>
    </w:p>
    <w:p w14:paraId="7DAF8335">
      <w:pPr>
        <w:snapToGrid w:val="0"/>
        <w:spacing w:before="50" w:after="50"/>
        <w:ind w:firstLine="3213" w:firstLineChars="1000"/>
        <w:jc w:val="both"/>
        <w:rPr>
          <w:rFonts w:hint="eastAsia" w:ascii="宋体" w:hAnsi="宋体" w:eastAsia="宋体" w:cs="宋体"/>
          <w:b/>
          <w:bCs/>
          <w:color w:val="auto"/>
          <w:sz w:val="32"/>
          <w:szCs w:val="32"/>
          <w:highlight w:val="none"/>
        </w:rPr>
      </w:pPr>
    </w:p>
    <w:p w14:paraId="5DAD6B64">
      <w:pPr>
        <w:snapToGrid w:val="0"/>
        <w:spacing w:before="50" w:after="50"/>
        <w:ind w:firstLine="3213" w:firstLineChars="1000"/>
        <w:jc w:val="both"/>
        <w:rPr>
          <w:rFonts w:hint="eastAsia" w:ascii="宋体" w:hAnsi="宋体" w:eastAsia="宋体" w:cs="宋体"/>
          <w:b/>
          <w:bCs/>
          <w:color w:val="auto"/>
          <w:sz w:val="32"/>
          <w:szCs w:val="32"/>
          <w:highlight w:val="none"/>
        </w:rPr>
      </w:pPr>
    </w:p>
    <w:p w14:paraId="7169ECF7">
      <w:pPr>
        <w:snapToGrid w:val="0"/>
        <w:spacing w:before="50" w:after="50"/>
        <w:ind w:firstLine="3213" w:firstLineChars="1000"/>
        <w:jc w:val="both"/>
        <w:rPr>
          <w:rFonts w:hint="eastAsia" w:ascii="宋体" w:hAnsi="宋体" w:eastAsia="宋体" w:cs="宋体"/>
          <w:b/>
          <w:bCs/>
          <w:color w:val="auto"/>
          <w:sz w:val="32"/>
          <w:szCs w:val="32"/>
          <w:highlight w:val="none"/>
        </w:rPr>
      </w:pPr>
    </w:p>
    <w:p w14:paraId="044BF28D">
      <w:pPr>
        <w:snapToGrid w:val="0"/>
        <w:spacing w:before="50" w:after="50"/>
        <w:ind w:firstLine="3213" w:firstLineChars="1000"/>
        <w:jc w:val="both"/>
        <w:rPr>
          <w:rFonts w:hint="eastAsia" w:ascii="宋体" w:hAnsi="宋体" w:eastAsia="宋体" w:cs="宋体"/>
          <w:b/>
          <w:bCs/>
          <w:color w:val="auto"/>
          <w:sz w:val="32"/>
          <w:szCs w:val="32"/>
          <w:highlight w:val="none"/>
        </w:rPr>
      </w:pPr>
    </w:p>
    <w:p w14:paraId="7F40C496">
      <w:pPr>
        <w:snapToGrid w:val="0"/>
        <w:spacing w:before="50" w:after="50"/>
        <w:ind w:firstLine="3213" w:firstLineChars="1000"/>
        <w:jc w:val="both"/>
        <w:rPr>
          <w:rFonts w:hint="eastAsia" w:ascii="宋体" w:hAnsi="宋体" w:eastAsia="宋体" w:cs="宋体"/>
          <w:b/>
          <w:bCs/>
          <w:color w:val="auto"/>
          <w:sz w:val="32"/>
          <w:szCs w:val="32"/>
          <w:highlight w:val="none"/>
        </w:rPr>
      </w:pPr>
    </w:p>
    <w:p w14:paraId="50C128B5">
      <w:pPr>
        <w:snapToGrid w:val="0"/>
        <w:spacing w:before="50" w:after="50"/>
        <w:ind w:firstLine="3213" w:firstLineChars="1000"/>
        <w:jc w:val="both"/>
        <w:rPr>
          <w:rFonts w:hint="eastAsia" w:ascii="宋体" w:hAnsi="宋体" w:eastAsia="宋体" w:cs="宋体"/>
          <w:b/>
          <w:bCs/>
          <w:color w:val="auto"/>
          <w:sz w:val="32"/>
          <w:szCs w:val="32"/>
          <w:highlight w:val="none"/>
        </w:rPr>
      </w:pPr>
    </w:p>
    <w:p w14:paraId="1731E0AA">
      <w:pPr>
        <w:snapToGrid w:val="0"/>
        <w:spacing w:before="50" w:after="50"/>
        <w:ind w:firstLine="3213" w:firstLineChars="1000"/>
        <w:jc w:val="both"/>
        <w:rPr>
          <w:rFonts w:hint="eastAsia" w:ascii="宋体" w:hAnsi="宋体" w:eastAsia="宋体" w:cs="宋体"/>
          <w:b/>
          <w:bCs/>
          <w:color w:val="auto"/>
          <w:sz w:val="32"/>
          <w:szCs w:val="32"/>
          <w:highlight w:val="none"/>
        </w:rPr>
      </w:pPr>
    </w:p>
    <w:p w14:paraId="503BCE53">
      <w:pPr>
        <w:snapToGrid w:val="0"/>
        <w:spacing w:before="50" w:after="50"/>
        <w:ind w:firstLine="3213" w:firstLineChars="1000"/>
        <w:jc w:val="both"/>
        <w:rPr>
          <w:rFonts w:hint="eastAsia" w:ascii="宋体" w:hAnsi="宋体" w:eastAsia="宋体" w:cs="宋体"/>
          <w:b/>
          <w:bCs/>
          <w:color w:val="auto"/>
          <w:sz w:val="32"/>
          <w:szCs w:val="32"/>
          <w:highlight w:val="none"/>
        </w:rPr>
      </w:pPr>
    </w:p>
    <w:p w14:paraId="792346F8">
      <w:pPr>
        <w:snapToGrid w:val="0"/>
        <w:spacing w:before="50" w:after="50"/>
        <w:ind w:firstLine="3213" w:firstLineChars="1000"/>
        <w:jc w:val="both"/>
        <w:rPr>
          <w:rFonts w:hint="eastAsia" w:ascii="宋体" w:hAnsi="宋体" w:eastAsia="宋体" w:cs="宋体"/>
          <w:b/>
          <w:bCs/>
          <w:color w:val="auto"/>
          <w:sz w:val="32"/>
          <w:szCs w:val="32"/>
          <w:highlight w:val="none"/>
        </w:rPr>
      </w:pPr>
    </w:p>
    <w:p w14:paraId="0A0568DC">
      <w:pPr>
        <w:snapToGrid w:val="0"/>
        <w:spacing w:before="50" w:after="50"/>
        <w:ind w:firstLine="3213" w:firstLineChars="1000"/>
        <w:jc w:val="both"/>
        <w:rPr>
          <w:rFonts w:hint="eastAsia" w:ascii="宋体" w:hAnsi="宋体" w:eastAsia="宋体" w:cs="宋体"/>
          <w:b/>
          <w:bCs/>
          <w:color w:val="auto"/>
          <w:sz w:val="32"/>
          <w:szCs w:val="32"/>
          <w:highlight w:val="none"/>
        </w:rPr>
      </w:pPr>
    </w:p>
    <w:p w14:paraId="123C6B04">
      <w:pPr>
        <w:snapToGrid w:val="0"/>
        <w:spacing w:before="50" w:after="50"/>
        <w:ind w:firstLine="3213" w:firstLineChars="1000"/>
        <w:jc w:val="both"/>
        <w:rPr>
          <w:rFonts w:hint="eastAsia" w:ascii="宋体" w:hAnsi="宋体" w:eastAsia="宋体" w:cs="宋体"/>
          <w:b/>
          <w:bCs/>
          <w:color w:val="auto"/>
          <w:sz w:val="32"/>
          <w:szCs w:val="32"/>
          <w:highlight w:val="none"/>
        </w:rPr>
      </w:pPr>
    </w:p>
    <w:p w14:paraId="5C8232A4">
      <w:pPr>
        <w:snapToGrid w:val="0"/>
        <w:spacing w:before="50" w:after="50"/>
        <w:ind w:firstLine="3213" w:firstLineChars="1000"/>
        <w:jc w:val="both"/>
        <w:rPr>
          <w:rFonts w:hint="eastAsia" w:ascii="宋体" w:hAnsi="宋体" w:eastAsia="宋体" w:cs="宋体"/>
          <w:b/>
          <w:bCs/>
          <w:color w:val="auto"/>
          <w:sz w:val="32"/>
          <w:szCs w:val="32"/>
          <w:highlight w:val="none"/>
        </w:rPr>
      </w:pPr>
    </w:p>
    <w:p w14:paraId="1383C5E2">
      <w:pPr>
        <w:snapToGrid w:val="0"/>
        <w:spacing w:before="50" w:after="50"/>
        <w:ind w:firstLine="3213" w:firstLineChars="1000"/>
        <w:jc w:val="both"/>
        <w:rPr>
          <w:rFonts w:hint="eastAsia" w:ascii="宋体" w:hAnsi="宋体" w:eastAsia="宋体" w:cs="宋体"/>
          <w:b/>
          <w:bCs/>
          <w:color w:val="auto"/>
          <w:sz w:val="32"/>
          <w:szCs w:val="32"/>
          <w:highlight w:val="none"/>
        </w:rPr>
      </w:pPr>
    </w:p>
    <w:p w14:paraId="36E7F0AC">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489BBFFE">
      <w:pPr>
        <w:snapToGrid w:val="0"/>
        <w:spacing w:before="50" w:after="50"/>
        <w:ind w:firstLine="3213" w:firstLineChars="1000"/>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投标函</w:t>
      </w:r>
    </w:p>
    <w:p w14:paraId="11D603F8">
      <w:pPr>
        <w:snapToGrid w:val="0"/>
        <w:spacing w:before="50" w:after="50"/>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致：</w:t>
      </w:r>
      <w:r>
        <w:rPr>
          <w:rFonts w:hint="eastAsia" w:ascii="宋体" w:hAnsi="宋体" w:eastAsia="宋体" w:cs="宋体"/>
          <w:color w:val="auto"/>
          <w:sz w:val="24"/>
          <w:szCs w:val="24"/>
          <w:highlight w:val="none"/>
        </w:rPr>
        <w:t>盐城市园林绿化管理处</w:t>
      </w:r>
    </w:p>
    <w:p w14:paraId="4AB13136">
      <w:pPr>
        <w:pStyle w:val="282"/>
        <w:spacing w:before="0" w:after="0" w:line="420" w:lineRule="exact"/>
        <w:ind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根据贵方的号采购文件，正式授权下述签字人_______________(姓名)代表我方______________（投标人的名称），全权处理本次项目投标的有关事宜。</w:t>
      </w:r>
    </w:p>
    <w:p w14:paraId="3A231EED">
      <w:pPr>
        <w:pStyle w:val="282"/>
        <w:spacing w:before="0" w:after="0" w:line="420" w:lineRule="exact"/>
        <w:ind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据此函，__________签字人兹宣布同意如下：</w:t>
      </w:r>
    </w:p>
    <w:p w14:paraId="61748BC5">
      <w:pPr>
        <w:pStyle w:val="282"/>
        <w:spacing w:before="0" w:after="0" w:line="420" w:lineRule="exac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1.按采购文件规定的各项要求，向买方提供所需货物与服务。</w:t>
      </w:r>
    </w:p>
    <w:p w14:paraId="1A027B21">
      <w:pPr>
        <w:pStyle w:val="282"/>
        <w:spacing w:before="0" w:after="0" w:line="420" w:lineRule="exact"/>
        <w:ind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2.我们完全理解贵方不一定将合同授予最低报价的投标人。</w:t>
      </w:r>
    </w:p>
    <w:p w14:paraId="42CDE45E">
      <w:pPr>
        <w:pStyle w:val="282"/>
        <w:spacing w:before="0" w:after="0" w:line="420" w:lineRule="exact"/>
        <w:ind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3.我们已详细审核全部采购文件及其有效补充文件，我们知道必须放弃提出含糊不清或误解问题的权利。</w:t>
      </w:r>
    </w:p>
    <w:p w14:paraId="66564E76">
      <w:pPr>
        <w:pStyle w:val="282"/>
        <w:spacing w:before="0" w:after="0" w:line="420" w:lineRule="exac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4.我们同意从规定的开标日期起遵循本投标文件，并在规定的投标有效期期满之前均具有约束力。</w:t>
      </w:r>
    </w:p>
    <w:p w14:paraId="3E060481">
      <w:pPr>
        <w:pStyle w:val="282"/>
        <w:spacing w:before="0" w:after="0" w:line="420" w:lineRule="exac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5.如果在开标后规定的投标有效期内撤回投标或中标后拒绝签订合同，则按照国家相关法律法规受到相应处罚。</w:t>
      </w:r>
    </w:p>
    <w:p w14:paraId="51A226F7">
      <w:pPr>
        <w:pStyle w:val="282"/>
        <w:spacing w:before="0" w:after="0" w:line="420" w:lineRule="exac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6.同意向贵方提供贵方可能另外要求的与投标有关的任何证据或资料，并保证我方已提供和将要提供的文件是真实的、准确的。</w:t>
      </w:r>
    </w:p>
    <w:p w14:paraId="5972C782">
      <w:pPr>
        <w:pStyle w:val="282"/>
        <w:spacing w:before="0" w:after="0" w:line="420" w:lineRule="exac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7.一旦我方中标,我方将根据采购文件的规定，严格履行合同的责任和义务,并保证在采购文件规定的时间完成项目，交付买方验收、使用。</w:t>
      </w:r>
    </w:p>
    <w:p w14:paraId="3059CCFE">
      <w:pPr>
        <w:pStyle w:val="282"/>
        <w:spacing w:before="0" w:after="0" w:line="420" w:lineRule="exact"/>
        <w:ind w:left="425" w:firstLine="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8.与本投标有关的正式通讯</w:t>
      </w:r>
      <w:r>
        <w:rPr>
          <w:rFonts w:hint="eastAsia" w:ascii="宋体" w:hAnsi="宋体" w:eastAsia="宋体" w:cs="宋体"/>
          <w:color w:val="auto"/>
          <w:kern w:val="2"/>
          <w:szCs w:val="21"/>
          <w:highlight w:val="none"/>
          <w:lang w:val="en-US" w:eastAsia="zh-CN"/>
        </w:rPr>
        <w:t>方式</w:t>
      </w:r>
      <w:r>
        <w:rPr>
          <w:rFonts w:hint="eastAsia" w:ascii="宋体" w:hAnsi="宋体" w:eastAsia="宋体" w:cs="宋体"/>
          <w:color w:val="auto"/>
          <w:kern w:val="2"/>
          <w:szCs w:val="21"/>
          <w:highlight w:val="none"/>
        </w:rPr>
        <w:t>：</w:t>
      </w:r>
    </w:p>
    <w:p w14:paraId="437075EF">
      <w:pPr>
        <w:pStyle w:val="282"/>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地        址：</w:t>
      </w:r>
    </w:p>
    <w:p w14:paraId="4A57D445">
      <w:pPr>
        <w:pStyle w:val="282"/>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邮        编：</w:t>
      </w:r>
    </w:p>
    <w:p w14:paraId="0FAA6759">
      <w:pPr>
        <w:pStyle w:val="282"/>
        <w:spacing w:before="0" w:after="0" w:line="420" w:lineRule="exact"/>
        <w:ind w:left="420" w:leftChars="200" w:firstLineChars="200"/>
        <w:rPr>
          <w:rFonts w:hint="eastAsia" w:ascii="宋体" w:hAnsi="宋体" w:eastAsia="宋体" w:cs="宋体"/>
          <w:color w:val="auto"/>
          <w:kern w:val="2"/>
          <w:szCs w:val="21"/>
          <w:highlight w:val="none"/>
          <w:lang w:val="en-US" w:eastAsia="zh-CN"/>
        </w:rPr>
      </w:pPr>
      <w:r>
        <w:rPr>
          <w:rFonts w:hint="eastAsia" w:ascii="宋体" w:hAnsi="宋体" w:eastAsia="宋体" w:cs="宋体"/>
          <w:color w:val="auto"/>
          <w:kern w:val="2"/>
          <w:szCs w:val="21"/>
          <w:highlight w:val="none"/>
          <w:lang w:val="en-US" w:eastAsia="zh-CN"/>
        </w:rPr>
        <w:t>手  机 号 码</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 xml:space="preserve">              电话号码：</w:t>
      </w:r>
    </w:p>
    <w:p w14:paraId="08963492">
      <w:pPr>
        <w:pStyle w:val="282"/>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传        真：</w:t>
      </w:r>
    </w:p>
    <w:p w14:paraId="18027AF5">
      <w:pPr>
        <w:pStyle w:val="282"/>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投标人开户行：</w:t>
      </w:r>
    </w:p>
    <w:p w14:paraId="2542B004">
      <w:pPr>
        <w:pStyle w:val="282"/>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账        户： </w:t>
      </w:r>
    </w:p>
    <w:p w14:paraId="71F09AAF">
      <w:pPr>
        <w:pStyle w:val="282"/>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投标人授权代表姓名（签字）： </w:t>
      </w:r>
    </w:p>
    <w:p w14:paraId="41B37AAC">
      <w:pPr>
        <w:pStyle w:val="282"/>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投标人名称（公章）： </w:t>
      </w:r>
    </w:p>
    <w:p w14:paraId="4935E5BD">
      <w:pPr>
        <w:pStyle w:val="282"/>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日           期：________年_</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___月_</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___日</w:t>
      </w:r>
    </w:p>
    <w:p w14:paraId="7D746992">
      <w:pPr>
        <w:snapToGrid w:val="0"/>
        <w:spacing w:before="50" w:afterLines="50"/>
        <w:jc w:val="left"/>
        <w:rPr>
          <w:rFonts w:hint="eastAsia" w:ascii="宋体" w:hAnsi="宋体" w:eastAsia="宋体" w:cs="宋体"/>
          <w:color w:val="auto"/>
          <w:sz w:val="44"/>
          <w:highlight w:val="none"/>
        </w:rPr>
      </w:pPr>
    </w:p>
    <w:p w14:paraId="77A34B13">
      <w:pPr>
        <w:pStyle w:val="14"/>
        <w:rPr>
          <w:rFonts w:hint="eastAsia" w:ascii="宋体" w:hAnsi="宋体" w:eastAsia="宋体" w:cs="宋体"/>
          <w:color w:val="auto"/>
          <w:highlight w:val="none"/>
        </w:rPr>
      </w:pPr>
    </w:p>
    <w:p w14:paraId="49A72D4B">
      <w:pPr>
        <w:pStyle w:val="44"/>
        <w:rPr>
          <w:rFonts w:hint="eastAsia" w:ascii="宋体" w:hAnsi="宋体" w:eastAsia="宋体" w:cs="宋体"/>
          <w:color w:val="auto"/>
          <w:highlight w:val="none"/>
        </w:rPr>
      </w:pPr>
    </w:p>
    <w:p w14:paraId="60B148FE">
      <w:pPr>
        <w:pStyle w:val="44"/>
        <w:rPr>
          <w:rFonts w:hint="eastAsia" w:ascii="宋体" w:hAnsi="宋体" w:eastAsia="宋体" w:cs="宋体"/>
          <w:color w:val="auto"/>
          <w:highlight w:val="none"/>
        </w:rPr>
      </w:pPr>
    </w:p>
    <w:p w14:paraId="6EE79A53">
      <w:pPr>
        <w:snapToGrid w:val="0"/>
        <w:spacing w:before="50" w:after="50"/>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szCs w:val="32"/>
          <w:highlight w:val="none"/>
          <w:lang w:val="en-US" w:eastAsia="zh-CN"/>
        </w:rPr>
        <w:t xml:space="preserve"> </w:t>
      </w:r>
    </w:p>
    <w:p w14:paraId="4AA5A364">
      <w:pPr>
        <w:pStyle w:val="31"/>
        <w:numPr>
          <w:ilvl w:val="0"/>
          <w:numId w:val="0"/>
        </w:numPr>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开标一览表</w:t>
      </w:r>
    </w:p>
    <w:p w14:paraId="3818439A">
      <w:pPr>
        <w:pStyle w:val="31"/>
        <w:rPr>
          <w:rFonts w:hint="eastAsia" w:ascii="宋体" w:hAnsi="宋体" w:eastAsia="宋体" w:cs="宋体"/>
          <w:color w:val="auto"/>
          <w:highlight w:val="none"/>
        </w:rPr>
      </w:pPr>
      <w:r>
        <w:rPr>
          <w:rFonts w:hint="eastAsia" w:ascii="宋体" w:hAnsi="宋体" w:eastAsia="宋体" w:cs="宋体"/>
          <w:color w:val="auto"/>
          <w:highlight w:val="none"/>
        </w:rPr>
        <w:t>项目编号： </w:t>
      </w:r>
    </w:p>
    <w:p w14:paraId="585A95B2">
      <w:pPr>
        <w:pStyle w:val="31"/>
        <w:rPr>
          <w:rFonts w:hint="eastAsia" w:ascii="宋体" w:hAnsi="宋体" w:eastAsia="宋体" w:cs="宋体"/>
          <w:color w:val="auto"/>
          <w:highlight w:val="none"/>
        </w:rPr>
      </w:pPr>
      <w:r>
        <w:rPr>
          <w:rFonts w:hint="eastAsia" w:ascii="宋体" w:hAnsi="宋体" w:eastAsia="宋体" w:cs="宋体"/>
          <w:color w:val="auto"/>
          <w:highlight w:val="none"/>
        </w:rPr>
        <w:t>货币单位：人民币元</w:t>
      </w:r>
    </w:p>
    <w:tbl>
      <w:tblPr>
        <w:tblStyle w:val="3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15" w:type="dxa"/>
          <w:left w:w="15" w:type="dxa"/>
          <w:bottom w:w="15" w:type="dxa"/>
          <w:right w:w="15" w:type="dxa"/>
        </w:tblCellMar>
      </w:tblPr>
      <w:tblGrid>
        <w:gridCol w:w="2566"/>
        <w:gridCol w:w="2144"/>
        <w:gridCol w:w="3449"/>
      </w:tblGrid>
      <w:tr w14:paraId="0B135D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1023" w:hRule="atLeast"/>
          <w:tblCellSpacing w:w="15" w:type="dxa"/>
        </w:trPr>
        <w:tc>
          <w:tcPr>
            <w:tcW w:w="2521" w:type="dxa"/>
            <w:shd w:val="clear" w:color="auto" w:fill="auto"/>
            <w:vAlign w:val="center"/>
          </w:tcPr>
          <w:p w14:paraId="7FF28B42">
            <w:pPr>
              <w:pStyle w:val="31"/>
              <w:rPr>
                <w:rFonts w:hint="eastAsia" w:ascii="宋体" w:hAnsi="宋体" w:eastAsia="宋体" w:cs="宋体"/>
                <w:color w:val="auto"/>
                <w:highlight w:val="none"/>
              </w:rPr>
            </w:pPr>
            <w:r>
              <w:rPr>
                <w:rFonts w:hint="eastAsia" w:ascii="宋体" w:hAnsi="宋体" w:eastAsia="宋体" w:cs="宋体"/>
                <w:color w:val="auto"/>
                <w:highlight w:val="none"/>
              </w:rPr>
              <w:t> 项目名称</w:t>
            </w:r>
          </w:p>
        </w:tc>
        <w:tc>
          <w:tcPr>
            <w:tcW w:w="2114" w:type="dxa"/>
            <w:shd w:val="clear" w:color="auto" w:fill="auto"/>
            <w:vAlign w:val="center"/>
          </w:tcPr>
          <w:p w14:paraId="3475E715">
            <w:pPr>
              <w:pStyle w:val="31"/>
              <w:rPr>
                <w:rFonts w:hint="eastAsia" w:ascii="宋体" w:hAnsi="宋体" w:eastAsia="宋体" w:cs="宋体"/>
                <w:color w:val="auto"/>
                <w:highlight w:val="none"/>
              </w:rPr>
            </w:pPr>
            <w:r>
              <w:rPr>
                <w:rFonts w:hint="eastAsia" w:ascii="宋体" w:hAnsi="宋体" w:eastAsia="宋体" w:cs="宋体"/>
                <w:color w:val="auto"/>
                <w:highlight w:val="none"/>
              </w:rPr>
              <w:t>项目内容</w:t>
            </w:r>
          </w:p>
        </w:tc>
        <w:tc>
          <w:tcPr>
            <w:tcW w:w="3404" w:type="dxa"/>
            <w:shd w:val="clear" w:color="auto" w:fill="auto"/>
            <w:vAlign w:val="center"/>
          </w:tcPr>
          <w:p w14:paraId="681BF0C1">
            <w:pPr>
              <w:pStyle w:val="31"/>
              <w:ind w:firstLine="960" w:firstLineChars="400"/>
              <w:rPr>
                <w:rFonts w:hint="eastAsia" w:ascii="宋体" w:hAnsi="宋体" w:eastAsia="宋体" w:cs="宋体"/>
                <w:color w:val="auto"/>
                <w:highlight w:val="none"/>
              </w:rPr>
            </w:pPr>
            <w:r>
              <w:rPr>
                <w:rFonts w:hint="eastAsia" w:ascii="宋体" w:hAnsi="宋体" w:eastAsia="宋体" w:cs="宋体"/>
                <w:color w:val="auto"/>
                <w:highlight w:val="none"/>
              </w:rPr>
              <w:t>总价（小写）</w:t>
            </w:r>
          </w:p>
        </w:tc>
      </w:tr>
      <w:tr w14:paraId="74160E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1077" w:hRule="atLeast"/>
          <w:tblCellSpacing w:w="15" w:type="dxa"/>
        </w:trPr>
        <w:tc>
          <w:tcPr>
            <w:tcW w:w="2521" w:type="dxa"/>
            <w:shd w:val="clear" w:color="auto" w:fill="auto"/>
            <w:vAlign w:val="center"/>
          </w:tcPr>
          <w:p w14:paraId="791236D8">
            <w:pPr>
              <w:widowControl/>
              <w:jc w:val="left"/>
              <w:rPr>
                <w:rFonts w:hint="eastAsia" w:ascii="宋体" w:hAnsi="宋体" w:eastAsia="宋体" w:cs="宋体"/>
                <w:color w:val="auto"/>
                <w:highlight w:val="none"/>
              </w:rPr>
            </w:pPr>
            <w:r>
              <w:rPr>
                <w:rFonts w:hint="eastAsia" w:ascii="宋体" w:hAnsi="宋体" w:cs="宋体"/>
                <w:bCs/>
                <w:color w:val="auto"/>
                <w:sz w:val="24"/>
                <w:szCs w:val="24"/>
                <w:highlight w:val="none"/>
                <w:lang w:eastAsia="zh-CN"/>
              </w:rPr>
              <w:t>盐城市区2025-2026年主要道路及节点时令花卉布置项目</w:t>
            </w:r>
          </w:p>
        </w:tc>
        <w:tc>
          <w:tcPr>
            <w:tcW w:w="2114" w:type="dxa"/>
            <w:shd w:val="clear" w:color="auto" w:fill="auto"/>
            <w:vAlign w:val="center"/>
          </w:tcPr>
          <w:p w14:paraId="444A1AF8">
            <w:pPr>
              <w:pStyle w:val="31"/>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详见投标文件</w:t>
            </w:r>
          </w:p>
        </w:tc>
        <w:tc>
          <w:tcPr>
            <w:tcW w:w="3404" w:type="dxa"/>
            <w:shd w:val="clear" w:color="auto" w:fill="auto"/>
            <w:vAlign w:val="center"/>
          </w:tcPr>
          <w:p w14:paraId="12057D91">
            <w:pPr>
              <w:pStyle w:val="31"/>
              <w:ind w:firstLine="1680" w:firstLineChars="7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 xml:space="preserve">  </w:t>
            </w:r>
            <w:r>
              <w:rPr>
                <w:rFonts w:hint="eastAsia" w:ascii="宋体" w:hAnsi="宋体" w:eastAsia="宋体" w:cs="宋体"/>
                <w:strike w:val="0"/>
                <w:dstrike w:val="0"/>
                <w:color w:val="auto"/>
                <w:highlight w:val="none"/>
                <w:lang w:val="en-US" w:eastAsia="zh-CN"/>
              </w:rPr>
              <w:t xml:space="preserve"> </w:t>
            </w:r>
            <w:r>
              <w:rPr>
                <w:rFonts w:hint="eastAsia" w:ascii="宋体" w:hAnsi="宋体" w:eastAsia="宋体" w:cs="宋体"/>
                <w:strike w:val="0"/>
                <w:dstrike w:val="0"/>
                <w:color w:val="auto"/>
                <w:highlight w:val="none"/>
              </w:rPr>
              <w:t>元</w:t>
            </w:r>
          </w:p>
        </w:tc>
      </w:tr>
      <w:tr w14:paraId="6FF35C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768" w:hRule="atLeast"/>
          <w:tblCellSpacing w:w="15" w:type="dxa"/>
        </w:trPr>
        <w:tc>
          <w:tcPr>
            <w:tcW w:w="2521" w:type="dxa"/>
            <w:shd w:val="clear" w:color="auto" w:fill="auto"/>
            <w:vAlign w:val="center"/>
          </w:tcPr>
          <w:p w14:paraId="7A0941E5">
            <w:pPr>
              <w:pStyle w:val="31"/>
              <w:rPr>
                <w:rFonts w:hint="eastAsia" w:ascii="宋体" w:hAnsi="宋体" w:eastAsia="宋体" w:cs="宋体"/>
                <w:color w:val="auto"/>
                <w:highlight w:val="none"/>
              </w:rPr>
            </w:pPr>
            <w:r>
              <w:rPr>
                <w:rFonts w:hint="eastAsia" w:ascii="宋体" w:hAnsi="宋体" w:eastAsia="宋体" w:cs="宋体"/>
                <w:color w:val="auto"/>
                <w:highlight w:val="none"/>
              </w:rPr>
              <w:t>总价（大写）：</w:t>
            </w:r>
          </w:p>
        </w:tc>
        <w:tc>
          <w:tcPr>
            <w:tcW w:w="5548" w:type="dxa"/>
            <w:gridSpan w:val="2"/>
            <w:shd w:val="clear" w:color="auto" w:fill="auto"/>
            <w:vAlign w:val="center"/>
          </w:tcPr>
          <w:p w14:paraId="01BAF86A">
            <w:pPr>
              <w:pStyle w:val="31"/>
              <w:rPr>
                <w:rFonts w:hint="eastAsia" w:ascii="宋体" w:hAnsi="宋体" w:eastAsia="宋体" w:cs="宋体"/>
                <w:color w:val="auto"/>
                <w:highlight w:val="none"/>
              </w:rPr>
            </w:pPr>
            <w:r>
              <w:rPr>
                <w:rFonts w:hint="eastAsia" w:ascii="宋体" w:hAnsi="宋体" w:eastAsia="宋体" w:cs="宋体"/>
                <w:color w:val="auto"/>
                <w:highlight w:val="none"/>
              </w:rPr>
              <w:t>金额大写  </w:t>
            </w:r>
          </w:p>
        </w:tc>
      </w:tr>
    </w:tbl>
    <w:p w14:paraId="743EBCF6">
      <w:pPr>
        <w:pStyle w:val="31"/>
        <w:ind w:firstLine="3360" w:firstLineChars="1400"/>
        <w:rPr>
          <w:rFonts w:hint="eastAsia" w:ascii="宋体" w:hAnsi="宋体" w:eastAsia="宋体" w:cs="宋体"/>
          <w:color w:val="auto"/>
          <w:highlight w:val="none"/>
        </w:rPr>
      </w:pPr>
    </w:p>
    <w:p w14:paraId="6805340F">
      <w:pPr>
        <w:pStyle w:val="31"/>
        <w:ind w:firstLine="4080" w:firstLineChars="1700"/>
        <w:rPr>
          <w:rFonts w:hint="eastAsia" w:ascii="宋体" w:hAnsi="宋体" w:eastAsia="宋体" w:cs="宋体"/>
          <w:color w:val="auto"/>
          <w:highlight w:val="none"/>
        </w:rPr>
      </w:pPr>
      <w:r>
        <w:rPr>
          <w:rFonts w:hint="eastAsia" w:ascii="宋体" w:hAnsi="宋体" w:eastAsia="宋体" w:cs="宋体"/>
          <w:color w:val="auto"/>
          <w:highlight w:val="none"/>
        </w:rPr>
        <w:t>投标人公章：      （电子签章）</w:t>
      </w:r>
    </w:p>
    <w:p w14:paraId="68967858">
      <w:pPr>
        <w:pStyle w:val="31"/>
        <w:jc w:val="right"/>
        <w:rPr>
          <w:rFonts w:hint="eastAsia" w:ascii="宋体" w:hAnsi="宋体" w:eastAsia="宋体" w:cs="宋体"/>
          <w:color w:val="auto"/>
          <w:highlight w:val="none"/>
        </w:rPr>
      </w:pPr>
      <w:r>
        <w:rPr>
          <w:rFonts w:hint="eastAsia" w:ascii="宋体" w:hAnsi="宋体" w:eastAsia="宋体" w:cs="宋体"/>
          <w:color w:val="auto"/>
          <w:highlight w:val="none"/>
        </w:rPr>
        <w:t> </w:t>
      </w:r>
    </w:p>
    <w:p w14:paraId="103E0EA0">
      <w:pPr>
        <w:pStyle w:val="31"/>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日期：</w:t>
      </w:r>
      <w:r>
        <w:rPr>
          <w:rFonts w:hint="eastAsia" w:ascii="宋体" w:hAnsi="宋体" w:eastAsia="宋体" w:cs="宋体"/>
          <w:color w:val="auto"/>
          <w:highlight w:val="none"/>
        </w:rPr>
        <mc:AlternateContent>
          <mc:Choice Requires="wps">
            <w:drawing>
              <wp:inline distT="0" distB="0" distL="114300" distR="114300">
                <wp:extent cx="635" cy="0"/>
                <wp:effectExtent l="0" t="4445" r="0" b="5080"/>
                <wp:docPr id="18" name="矩形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noAutofit/>
                      </wps:bodyPr>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GU5CpzgAAAP8AAAAPAAAAAAAA&#10;AAEAIAAAACIAAABkcnMvZG93bnJldi54bWxQSwECFAAUAAAACACHTuJANcziBhwCAABMBAAADgAA&#10;AAAAAAABACAAAAAdAQAAZHJzL2Uyb0RvYy54bWxQSwUGAAAAAAYABgBZAQAAqwUAAAAA&#10;">
                <v:fill on="f" focussize="0,0"/>
                <v:stroke color="#000000" joinstyle="miter"/>
                <v:imagedata o:title=""/>
                <o:lock v:ext="edit" aspectratio="t"/>
                <w10:wrap type="none"/>
                <w10:anchorlock/>
              </v:rect>
            </w:pict>
          </mc:Fallback>
        </mc:AlternateContent>
      </w:r>
      <w:r>
        <w:rPr>
          <w:rFonts w:hint="eastAsia" w:ascii="宋体" w:hAnsi="宋体" w:eastAsia="宋体" w:cs="宋体"/>
          <w:color w:val="auto"/>
          <w:highlight w:val="none"/>
        </w:rPr>
        <w:t> 年</w:t>
      </w:r>
      <w:r>
        <w:rPr>
          <w:rFonts w:hint="eastAsia" w:ascii="宋体" w:hAnsi="宋体" w:eastAsia="宋体" w:cs="宋体"/>
          <w:color w:val="auto"/>
          <w:highlight w:val="none"/>
        </w:rPr>
        <mc:AlternateContent>
          <mc:Choice Requires="wps">
            <w:drawing>
              <wp:inline distT="0" distB="0" distL="114300" distR="114300">
                <wp:extent cx="635" cy="0"/>
                <wp:effectExtent l="0" t="4445" r="0" b="5080"/>
                <wp:docPr id="19"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noAutofit/>
                      </wps:bodyPr>
                    </wps:wsp>
                  </a:graphicData>
                </a:graphic>
              </wp:inline>
            </w:drawing>
          </mc:Choice>
          <mc:Fallback>
            <w:pict>
              <v:rect id="矩形 1"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AZTkKnOAAAA/wAAAA8AAAAAAAAA&#10;AQAgAAAAIgAAAGRycy9kb3ducmV2LnhtbFBLAQIUABQAAAAIAIdO4kBwke0GGwIAAEsEAAAOAAAA&#10;AAAAAAEAIAAAAB0BAABkcnMvZTJvRG9jLnhtbFBLBQYAAAAABgAGAFkBAACqBQAAAAA=&#10;">
                <v:fill on="f" focussize="0,0"/>
                <v:stroke color="#000000" joinstyle="miter"/>
                <v:imagedata o:title=""/>
                <o:lock v:ext="edit" aspectratio="t"/>
                <w10:wrap type="none"/>
                <w10:anchorlock/>
              </v:rect>
            </w:pict>
          </mc:Fallback>
        </mc:AlternateConten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月</w:t>
      </w:r>
      <w:r>
        <w:rPr>
          <w:rFonts w:hint="eastAsia" w:ascii="宋体" w:hAnsi="宋体" w:eastAsia="宋体" w:cs="宋体"/>
          <w:color w:val="auto"/>
          <w:highlight w:val="none"/>
        </w:rPr>
        <mc:AlternateContent>
          <mc:Choice Requires="wps">
            <w:drawing>
              <wp:inline distT="0" distB="0" distL="114300" distR="114300">
                <wp:extent cx="635" cy="0"/>
                <wp:effectExtent l="0" t="4445" r="0" b="5080"/>
                <wp:docPr id="20" name="矩形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noAutofit/>
                      </wps:bodyPr>
                    </wps:wsp>
                  </a:graphicData>
                </a:graphic>
              </wp:inline>
            </w:drawing>
          </mc:Choice>
          <mc:Fallback>
            <w:pict>
              <v:rect id="矩形 19"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BlOQqc4AAAD/AAAADwAAAAAA&#10;AAABACAAAAAiAAAAZHJzL2Rvd25yZXYueG1sUEsBAhQAFAAAAAgAh07iQBOf/S0dAgAATAQAAA4A&#10;AAAAAAAAAQAgAAAAHQEAAGRycy9lMm9Eb2MueG1sUEsFBgAAAAAGAAYAWQEAAKwFAAAAAA==&#10;">
                <v:fill on="f" focussize="0,0"/>
                <v:stroke color="#000000" joinstyle="miter"/>
                <v:imagedata o:title=""/>
                <o:lock v:ext="edit" aspectratio="t"/>
                <w10:wrap type="none"/>
                <w10:anchorlock/>
              </v:rect>
            </w:pict>
          </mc:Fallback>
        </mc:AlternateConten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w:t>
      </w:r>
    </w:p>
    <w:p w14:paraId="33692302">
      <w:pPr>
        <w:ind w:firstLine="2640" w:firstLineChars="600"/>
        <w:rPr>
          <w:rFonts w:hint="eastAsia" w:ascii="宋体" w:hAnsi="宋体" w:eastAsia="宋体" w:cs="宋体"/>
          <w:color w:val="auto"/>
          <w:sz w:val="44"/>
          <w:highlight w:val="none"/>
        </w:rPr>
      </w:pPr>
    </w:p>
    <w:p w14:paraId="02167822">
      <w:pPr>
        <w:ind w:firstLine="480"/>
        <w:rPr>
          <w:rFonts w:hint="eastAsia" w:ascii="宋体" w:hAnsi="宋体" w:eastAsia="宋体" w:cs="宋体"/>
          <w:color w:val="auto"/>
          <w:sz w:val="24"/>
          <w:highlight w:val="none"/>
        </w:rPr>
      </w:pPr>
    </w:p>
    <w:p w14:paraId="6CA1398F">
      <w:pPr>
        <w:ind w:firstLine="480"/>
        <w:rPr>
          <w:rFonts w:hint="eastAsia" w:ascii="宋体" w:hAnsi="宋体" w:eastAsia="宋体" w:cs="宋体"/>
          <w:color w:val="auto"/>
          <w:sz w:val="24"/>
          <w:highlight w:val="none"/>
        </w:rPr>
      </w:pPr>
    </w:p>
    <w:p w14:paraId="0D077A28">
      <w:pPr>
        <w:spacing w:line="380" w:lineRule="exact"/>
        <w:jc w:val="center"/>
        <w:rPr>
          <w:rFonts w:hint="eastAsia" w:ascii="宋体" w:hAnsi="宋体" w:eastAsia="宋体" w:cs="宋体"/>
          <w:b/>
          <w:color w:val="auto"/>
          <w:sz w:val="24"/>
          <w:highlight w:val="none"/>
        </w:rPr>
      </w:pPr>
    </w:p>
    <w:p w14:paraId="54C3375A">
      <w:pPr>
        <w:spacing w:line="380" w:lineRule="exact"/>
        <w:jc w:val="center"/>
        <w:rPr>
          <w:rFonts w:hint="eastAsia" w:ascii="宋体" w:hAnsi="宋体" w:eastAsia="宋体" w:cs="宋体"/>
          <w:b/>
          <w:color w:val="auto"/>
          <w:sz w:val="24"/>
          <w:highlight w:val="none"/>
        </w:rPr>
      </w:pPr>
    </w:p>
    <w:p w14:paraId="4345A65B">
      <w:pPr>
        <w:spacing w:line="380" w:lineRule="exact"/>
        <w:jc w:val="center"/>
        <w:rPr>
          <w:rFonts w:hint="eastAsia" w:ascii="宋体" w:hAnsi="宋体" w:eastAsia="宋体" w:cs="宋体"/>
          <w:b/>
          <w:color w:val="auto"/>
          <w:sz w:val="24"/>
          <w:highlight w:val="none"/>
        </w:rPr>
      </w:pPr>
    </w:p>
    <w:p w14:paraId="77AE687C">
      <w:pPr>
        <w:spacing w:line="380" w:lineRule="exact"/>
        <w:jc w:val="center"/>
        <w:rPr>
          <w:rFonts w:hint="eastAsia" w:ascii="宋体" w:hAnsi="宋体" w:eastAsia="宋体" w:cs="宋体"/>
          <w:b/>
          <w:color w:val="auto"/>
          <w:sz w:val="24"/>
          <w:highlight w:val="none"/>
        </w:rPr>
      </w:pPr>
    </w:p>
    <w:p w14:paraId="2649EE2B">
      <w:pPr>
        <w:spacing w:line="380" w:lineRule="exact"/>
        <w:jc w:val="center"/>
        <w:rPr>
          <w:rFonts w:hint="eastAsia" w:ascii="宋体" w:hAnsi="宋体" w:eastAsia="宋体" w:cs="宋体"/>
          <w:b/>
          <w:color w:val="auto"/>
          <w:sz w:val="24"/>
          <w:highlight w:val="none"/>
        </w:rPr>
      </w:pPr>
    </w:p>
    <w:p w14:paraId="08F3BB23">
      <w:pPr>
        <w:spacing w:line="380" w:lineRule="exact"/>
        <w:jc w:val="center"/>
        <w:rPr>
          <w:rFonts w:hint="eastAsia" w:ascii="宋体" w:hAnsi="宋体" w:eastAsia="宋体" w:cs="宋体"/>
          <w:b/>
          <w:color w:val="auto"/>
          <w:sz w:val="24"/>
          <w:highlight w:val="none"/>
        </w:rPr>
      </w:pPr>
    </w:p>
    <w:p w14:paraId="5EC51964">
      <w:pPr>
        <w:spacing w:line="380" w:lineRule="exact"/>
        <w:jc w:val="center"/>
        <w:rPr>
          <w:rFonts w:hint="eastAsia" w:ascii="宋体" w:hAnsi="宋体" w:eastAsia="宋体" w:cs="宋体"/>
          <w:b/>
          <w:color w:val="auto"/>
          <w:sz w:val="24"/>
          <w:highlight w:val="none"/>
        </w:rPr>
      </w:pPr>
    </w:p>
    <w:p w14:paraId="3765FFA8">
      <w:pPr>
        <w:spacing w:line="380" w:lineRule="exact"/>
        <w:jc w:val="center"/>
        <w:rPr>
          <w:rFonts w:hint="eastAsia" w:ascii="宋体" w:hAnsi="宋体" w:eastAsia="宋体" w:cs="宋体"/>
          <w:b/>
          <w:color w:val="auto"/>
          <w:sz w:val="24"/>
          <w:highlight w:val="none"/>
        </w:rPr>
      </w:pPr>
    </w:p>
    <w:p w14:paraId="0FFD0EA6">
      <w:pPr>
        <w:spacing w:line="380" w:lineRule="exact"/>
        <w:jc w:val="center"/>
        <w:rPr>
          <w:rFonts w:hint="eastAsia" w:ascii="宋体" w:hAnsi="宋体" w:eastAsia="宋体" w:cs="宋体"/>
          <w:b/>
          <w:color w:val="auto"/>
          <w:sz w:val="24"/>
          <w:highlight w:val="none"/>
        </w:rPr>
      </w:pPr>
    </w:p>
    <w:p w14:paraId="1F63802F">
      <w:pPr>
        <w:spacing w:line="380" w:lineRule="exact"/>
        <w:jc w:val="center"/>
        <w:rPr>
          <w:rFonts w:hint="eastAsia" w:ascii="宋体" w:hAnsi="宋体" w:eastAsia="宋体" w:cs="宋体"/>
          <w:b/>
          <w:color w:val="auto"/>
          <w:sz w:val="24"/>
          <w:highlight w:val="none"/>
        </w:rPr>
      </w:pPr>
    </w:p>
    <w:p w14:paraId="61D3113D">
      <w:pPr>
        <w:spacing w:line="380" w:lineRule="exact"/>
        <w:jc w:val="center"/>
        <w:rPr>
          <w:rFonts w:hint="eastAsia" w:ascii="宋体" w:hAnsi="宋体" w:eastAsia="宋体" w:cs="宋体"/>
          <w:b/>
          <w:color w:val="auto"/>
          <w:sz w:val="24"/>
          <w:highlight w:val="none"/>
        </w:rPr>
      </w:pPr>
    </w:p>
    <w:p w14:paraId="5C9141D5">
      <w:pPr>
        <w:spacing w:line="380" w:lineRule="exact"/>
        <w:jc w:val="center"/>
        <w:rPr>
          <w:rFonts w:hint="eastAsia" w:ascii="宋体" w:hAnsi="宋体" w:eastAsia="宋体" w:cs="宋体"/>
          <w:b/>
          <w:color w:val="auto"/>
          <w:sz w:val="24"/>
          <w:highlight w:val="none"/>
        </w:rPr>
      </w:pPr>
    </w:p>
    <w:p w14:paraId="05DF0AC3">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224802A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技术要求响应及偏离表</w:t>
      </w:r>
    </w:p>
    <w:tbl>
      <w:tblPr>
        <w:tblStyle w:val="38"/>
        <w:tblW w:w="8520" w:type="dxa"/>
        <w:tblCellSpacing w:w="0" w:type="dxa"/>
        <w:tblInd w:w="10" w:type="dxa"/>
        <w:tblLayout w:type="fixed"/>
        <w:tblCellMar>
          <w:top w:w="0" w:type="dxa"/>
          <w:left w:w="108" w:type="dxa"/>
          <w:bottom w:w="0" w:type="dxa"/>
          <w:right w:w="108" w:type="dxa"/>
        </w:tblCellMar>
      </w:tblPr>
      <w:tblGrid>
        <w:gridCol w:w="817"/>
        <w:gridCol w:w="2747"/>
        <w:gridCol w:w="2608"/>
        <w:gridCol w:w="1247"/>
        <w:gridCol w:w="1101"/>
      </w:tblGrid>
      <w:tr w14:paraId="6885E229">
        <w:tblPrEx>
          <w:tblCellMar>
            <w:top w:w="0" w:type="dxa"/>
            <w:left w:w="108" w:type="dxa"/>
            <w:bottom w:w="0" w:type="dxa"/>
            <w:right w:w="108" w:type="dxa"/>
          </w:tblCellMar>
        </w:tblPrEx>
        <w:trPr>
          <w:tblCellSpacing w:w="0" w:type="dxa"/>
        </w:trPr>
        <w:tc>
          <w:tcPr>
            <w:tcW w:w="817" w:type="dxa"/>
            <w:tcBorders>
              <w:top w:val="single" w:color="000000" w:sz="4" w:space="0"/>
              <w:left w:val="single" w:color="000000" w:sz="4" w:space="0"/>
              <w:bottom w:val="single" w:color="000000" w:sz="4" w:space="0"/>
              <w:right w:val="single" w:color="000000" w:sz="4" w:space="0"/>
            </w:tcBorders>
            <w:vAlign w:val="center"/>
          </w:tcPr>
          <w:p w14:paraId="438AF774">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747" w:type="dxa"/>
            <w:tcBorders>
              <w:top w:val="single" w:color="000000" w:sz="4" w:space="0"/>
              <w:left w:val="single" w:color="000000" w:sz="4" w:space="0"/>
              <w:bottom w:val="single" w:color="000000" w:sz="4" w:space="0"/>
              <w:right w:val="single" w:color="000000" w:sz="4" w:space="0"/>
            </w:tcBorders>
            <w:vAlign w:val="center"/>
          </w:tcPr>
          <w:p w14:paraId="6A1E928C">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招标</w:t>
            </w:r>
            <w:r>
              <w:rPr>
                <w:rFonts w:hint="eastAsia" w:ascii="宋体" w:hAnsi="宋体" w:eastAsia="宋体" w:cs="宋体"/>
                <w:color w:val="auto"/>
                <w:highlight w:val="none"/>
              </w:rPr>
              <w:t>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6C93C091">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050C562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72ED572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7D8CEDBE">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63E48C6C">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vAlign w:val="center"/>
          </w:tcPr>
          <w:p w14:paraId="12DDA66C">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747" w:type="dxa"/>
            <w:tcBorders>
              <w:top w:val="single" w:color="000000" w:sz="4" w:space="0"/>
              <w:left w:val="single" w:color="000000" w:sz="4" w:space="0"/>
              <w:bottom w:val="single" w:color="000000" w:sz="4" w:space="0"/>
              <w:right w:val="single" w:color="000000" w:sz="4" w:space="0"/>
            </w:tcBorders>
            <w:vAlign w:val="center"/>
          </w:tcPr>
          <w:p w14:paraId="4241A0B0">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454C2B4">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2279CCF">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6E05DE4">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550492F">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vAlign w:val="center"/>
          </w:tcPr>
          <w:p w14:paraId="00A00D3A">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747" w:type="dxa"/>
            <w:tcBorders>
              <w:top w:val="single" w:color="000000" w:sz="4" w:space="0"/>
              <w:left w:val="single" w:color="000000" w:sz="4" w:space="0"/>
              <w:bottom w:val="single" w:color="000000" w:sz="4" w:space="0"/>
              <w:right w:val="single" w:color="000000" w:sz="4" w:space="0"/>
            </w:tcBorders>
            <w:vAlign w:val="center"/>
          </w:tcPr>
          <w:p w14:paraId="15027A2F">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72DB60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DF65288">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CB5EAE4">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052D9D6">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vAlign w:val="center"/>
          </w:tcPr>
          <w:p w14:paraId="77205CE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747" w:type="dxa"/>
            <w:tcBorders>
              <w:top w:val="single" w:color="000000" w:sz="4" w:space="0"/>
              <w:left w:val="single" w:color="000000" w:sz="4" w:space="0"/>
              <w:bottom w:val="single" w:color="000000" w:sz="4" w:space="0"/>
              <w:right w:val="single" w:color="000000" w:sz="4" w:space="0"/>
            </w:tcBorders>
            <w:vAlign w:val="center"/>
          </w:tcPr>
          <w:p w14:paraId="756D50DB">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83D1BDD">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FB2513F">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F3416B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0A94A62">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vAlign w:val="center"/>
          </w:tcPr>
          <w:p w14:paraId="0A75A678">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747" w:type="dxa"/>
            <w:tcBorders>
              <w:top w:val="single" w:color="000000" w:sz="4" w:space="0"/>
              <w:left w:val="single" w:color="000000" w:sz="4" w:space="0"/>
              <w:bottom w:val="single" w:color="000000" w:sz="4" w:space="0"/>
              <w:right w:val="single" w:color="000000" w:sz="4" w:space="0"/>
            </w:tcBorders>
            <w:vAlign w:val="center"/>
          </w:tcPr>
          <w:p w14:paraId="0DDA26A9">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8B9341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54D3C1F">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43E425B">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3ED48DA">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vAlign w:val="center"/>
          </w:tcPr>
          <w:p w14:paraId="0A5A5189">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747" w:type="dxa"/>
            <w:tcBorders>
              <w:top w:val="single" w:color="000000" w:sz="4" w:space="0"/>
              <w:left w:val="single" w:color="000000" w:sz="4" w:space="0"/>
              <w:bottom w:val="single" w:color="000000" w:sz="4" w:space="0"/>
              <w:right w:val="single" w:color="000000" w:sz="4" w:space="0"/>
            </w:tcBorders>
            <w:vAlign w:val="center"/>
          </w:tcPr>
          <w:p w14:paraId="3B602FF0">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7018769">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CC68324">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122B2C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8E0855E">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vAlign w:val="center"/>
          </w:tcPr>
          <w:p w14:paraId="30897AC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747" w:type="dxa"/>
            <w:tcBorders>
              <w:top w:val="single" w:color="000000" w:sz="4" w:space="0"/>
              <w:left w:val="single" w:color="000000" w:sz="4" w:space="0"/>
              <w:bottom w:val="single" w:color="000000" w:sz="4" w:space="0"/>
              <w:right w:val="single" w:color="000000" w:sz="4" w:space="0"/>
            </w:tcBorders>
            <w:vAlign w:val="center"/>
          </w:tcPr>
          <w:p w14:paraId="50C3C9E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98228A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9B0E0C4">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E80634D">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080EA5D">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vAlign w:val="center"/>
          </w:tcPr>
          <w:p w14:paraId="5FD1864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747" w:type="dxa"/>
            <w:tcBorders>
              <w:top w:val="single" w:color="000000" w:sz="4" w:space="0"/>
              <w:left w:val="single" w:color="000000" w:sz="4" w:space="0"/>
              <w:bottom w:val="single" w:color="000000" w:sz="4" w:space="0"/>
              <w:right w:val="single" w:color="000000" w:sz="4" w:space="0"/>
            </w:tcBorders>
            <w:vAlign w:val="center"/>
          </w:tcPr>
          <w:p w14:paraId="235340FB">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467C5D8">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486A739">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1C657FF">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8483997">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vAlign w:val="center"/>
          </w:tcPr>
          <w:p w14:paraId="6157093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747" w:type="dxa"/>
            <w:tcBorders>
              <w:top w:val="single" w:color="000000" w:sz="4" w:space="0"/>
              <w:left w:val="single" w:color="000000" w:sz="4" w:space="0"/>
              <w:bottom w:val="single" w:color="000000" w:sz="4" w:space="0"/>
              <w:right w:val="single" w:color="000000" w:sz="4" w:space="0"/>
            </w:tcBorders>
            <w:vAlign w:val="center"/>
          </w:tcPr>
          <w:p w14:paraId="484DB749">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16AF113F">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FEE474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F389075">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57FBCC1E">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w:t>
      </w:r>
    </w:p>
    <w:p w14:paraId="04D4800E">
      <w:pPr>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1.如供应商提交的商务要求响应情况与磋商文件的要求存在偏离，需逐项填写《技术要求响应及偏离表》。</w:t>
      </w:r>
    </w:p>
    <w:p w14:paraId="098F74F7">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2.行数不够，可自行添加。</w:t>
      </w:r>
    </w:p>
    <w:p w14:paraId="747471BB">
      <w:pPr>
        <w:pBdr>
          <w:top w:val="none" w:color="000000" w:sz="0" w:space="0"/>
          <w:left w:val="none" w:color="000000" w:sz="0" w:space="0"/>
          <w:bottom w:val="none" w:color="000000" w:sz="0" w:space="0"/>
          <w:right w:val="none" w:color="000000" w:sz="0" w:space="0"/>
        </w:pBdr>
        <w:jc w:val="right"/>
        <w:rPr>
          <w:rFonts w:hint="eastAsia" w:ascii="宋体" w:hAnsi="宋体" w:eastAsia="宋体" w:cs="宋体"/>
          <w:color w:val="auto"/>
          <w:sz w:val="24"/>
          <w:highlight w:val="none"/>
        </w:rPr>
      </w:pPr>
    </w:p>
    <w:p w14:paraId="208EFB29">
      <w:pPr>
        <w:pBdr>
          <w:top w:val="none" w:color="000000" w:sz="0" w:space="0"/>
          <w:left w:val="none" w:color="000000" w:sz="0" w:space="0"/>
          <w:bottom w:val="none" w:color="000000" w:sz="0" w:space="0"/>
          <w:right w:val="none" w:color="000000" w:sz="0" w:space="0"/>
        </w:pBdr>
        <w:jc w:val="right"/>
        <w:rPr>
          <w:rFonts w:hint="eastAsia" w:ascii="宋体" w:hAnsi="宋体" w:eastAsia="宋体" w:cs="宋体"/>
          <w:color w:val="auto"/>
          <w:sz w:val="24"/>
          <w:highlight w:val="none"/>
        </w:rPr>
      </w:pPr>
    </w:p>
    <w:p w14:paraId="7CF7924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供应商全称（公章）：</w:t>
      </w:r>
    </w:p>
    <w:p w14:paraId="28FB4A20">
      <w:pPr>
        <w:pBdr>
          <w:top w:val="none" w:color="000000" w:sz="0" w:space="0"/>
          <w:left w:val="none" w:color="000000" w:sz="0" w:space="0"/>
          <w:bottom w:val="none" w:color="000000" w:sz="0" w:space="0"/>
          <w:right w:val="none" w:color="000000" w:sz="0" w:space="0"/>
        </w:pBdr>
        <w:ind w:firstLine="3600"/>
        <w:rPr>
          <w:rFonts w:hint="eastAsia" w:ascii="宋体" w:hAnsi="宋体" w:eastAsia="宋体" w:cs="宋体"/>
          <w:color w:val="auto"/>
          <w:sz w:val="24"/>
          <w:highlight w:val="none"/>
        </w:rPr>
      </w:pPr>
    </w:p>
    <w:p w14:paraId="4B9B985D">
      <w:pPr>
        <w:pBdr>
          <w:top w:val="none" w:color="000000" w:sz="0" w:space="0"/>
          <w:left w:val="none" w:color="000000" w:sz="0" w:space="0"/>
          <w:bottom w:val="none" w:color="000000" w:sz="0" w:space="0"/>
          <w:right w:val="none" w:color="000000" w:sz="0" w:space="0"/>
        </w:pBdr>
        <w:ind w:firstLine="4591"/>
        <w:jc w:val="right"/>
        <w:rPr>
          <w:rFonts w:hint="eastAsia" w:ascii="宋体" w:hAnsi="宋体" w:eastAsia="宋体" w:cs="宋体"/>
          <w:color w:val="auto"/>
          <w:highlight w:val="none"/>
        </w:rPr>
      </w:pPr>
      <w:r>
        <w:rPr>
          <w:rFonts w:hint="eastAsia" w:ascii="宋体" w:hAnsi="宋体" w:eastAsia="宋体" w:cs="宋体"/>
          <w:color w:val="auto"/>
          <w:sz w:val="24"/>
          <w:highlight w:val="none"/>
        </w:rPr>
        <w:t>法定代表人或授权代表（签字或盖章）：</w:t>
      </w:r>
    </w:p>
    <w:p w14:paraId="329BEDF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57D0B355">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日期：</w:t>
      </w:r>
      <w:r>
        <w:rPr>
          <w:rFonts w:hint="eastAsia" w:ascii="宋体" w:hAnsi="宋体" w:eastAsia="宋体" w:cs="宋体"/>
          <w:color w:val="auto"/>
          <w:sz w:val="24"/>
          <w:highlight w:val="none"/>
        </w:rPr>
        <w:t xml:space="preserve">    年   月   日</w:t>
      </w: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商务要求响应及偏离表</w:t>
      </w:r>
    </w:p>
    <w:tbl>
      <w:tblPr>
        <w:tblStyle w:val="38"/>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0A54225">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161071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014724FD">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招标</w:t>
            </w:r>
            <w:r>
              <w:rPr>
                <w:rFonts w:hint="eastAsia" w:ascii="宋体" w:hAnsi="宋体" w:eastAsia="宋体" w:cs="宋体"/>
                <w:color w:val="auto"/>
                <w:highlight w:val="none"/>
              </w:rPr>
              <w:t>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320E57EE">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628C604C">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1C4804E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3A76FA3A">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55D6E84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660134F">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E4A323B">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CB2AEE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C087899">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BE748A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635924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57A0FBA">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ACD9E7A">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59373CB">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D75FD25">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F6FB85C">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7F92AE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4B8DE9F">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077712F">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389C79D">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BD613C5">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DCC249B">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CC8BCE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703BEF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874087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5AD8543">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A4B17F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A870CDB">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BAB21A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C308918">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4C4D9DF">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CF01B1B">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08F6B5E">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664527D">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35A681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803672E">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95B11E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141B3E9">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7D8E7E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F83DE54">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9408C8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4C6EA7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780F13C">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DDC6ED1">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A0DBE30">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7957786">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783C65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79081E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E2404A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7E2C92D2">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ED19AC7">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267F5DA">
            <w:pPr>
              <w:pStyle w:val="3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189A1277">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w:t>
      </w:r>
    </w:p>
    <w:p w14:paraId="1CB0EE2F">
      <w:pPr>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1.如供应商提交的商务要求响应情况与磋商文件的要求存在偏离，需逐项填写《商务要求响应及偏离表》。</w:t>
      </w:r>
    </w:p>
    <w:p w14:paraId="469FAB67">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2.行数不够，可自行添加。</w:t>
      </w:r>
    </w:p>
    <w:p w14:paraId="7F01D6E8">
      <w:pPr>
        <w:pBdr>
          <w:top w:val="none" w:color="000000" w:sz="0" w:space="0"/>
          <w:left w:val="none" w:color="000000" w:sz="0" w:space="0"/>
          <w:bottom w:val="none" w:color="000000" w:sz="0" w:space="0"/>
          <w:right w:val="none" w:color="000000" w:sz="0" w:space="0"/>
        </w:pBdr>
        <w:jc w:val="both"/>
        <w:rPr>
          <w:rFonts w:hint="eastAsia" w:ascii="宋体" w:hAnsi="宋体" w:eastAsia="宋体" w:cs="宋体"/>
          <w:color w:val="auto"/>
          <w:sz w:val="24"/>
          <w:highlight w:val="none"/>
        </w:rPr>
      </w:pPr>
    </w:p>
    <w:p w14:paraId="4F8B0FCF">
      <w:pPr>
        <w:pBdr>
          <w:top w:val="none" w:color="000000" w:sz="0" w:space="0"/>
          <w:left w:val="none" w:color="000000" w:sz="0" w:space="0"/>
          <w:bottom w:val="none" w:color="000000" w:sz="0" w:space="0"/>
          <w:right w:val="none" w:color="000000" w:sz="0" w:space="0"/>
        </w:pBdr>
        <w:jc w:val="both"/>
        <w:rPr>
          <w:rFonts w:hint="eastAsia" w:ascii="宋体" w:hAnsi="宋体" w:eastAsia="宋体" w:cs="宋体"/>
          <w:color w:val="auto"/>
          <w:highlight w:val="none"/>
        </w:rPr>
      </w:pPr>
      <w:r>
        <w:rPr>
          <w:rFonts w:hint="eastAsia" w:ascii="宋体" w:hAnsi="宋体" w:eastAsia="宋体" w:cs="宋体"/>
          <w:color w:val="auto"/>
          <w:sz w:val="24"/>
          <w:highlight w:val="none"/>
        </w:rPr>
        <w:t>供应商全称（公章）：</w:t>
      </w:r>
    </w:p>
    <w:p w14:paraId="3CC8CB0E">
      <w:pPr>
        <w:pBdr>
          <w:top w:val="none" w:color="000000" w:sz="0" w:space="0"/>
          <w:left w:val="none" w:color="000000" w:sz="0" w:space="0"/>
          <w:bottom w:val="none" w:color="000000" w:sz="0" w:space="0"/>
          <w:right w:val="none" w:color="000000" w:sz="0" w:space="0"/>
        </w:pBdr>
        <w:ind w:firstLine="3600"/>
        <w:rPr>
          <w:rFonts w:hint="eastAsia" w:ascii="宋体" w:hAnsi="宋体" w:eastAsia="宋体" w:cs="宋体"/>
          <w:color w:val="auto"/>
          <w:sz w:val="24"/>
          <w:highlight w:val="none"/>
        </w:rPr>
      </w:pPr>
    </w:p>
    <w:p w14:paraId="29991B08">
      <w:pPr>
        <w:pBdr>
          <w:top w:val="none" w:color="000000" w:sz="0" w:space="0"/>
          <w:left w:val="none" w:color="000000" w:sz="0" w:space="0"/>
          <w:bottom w:val="none" w:color="000000" w:sz="0" w:space="0"/>
          <w:right w:val="none" w:color="000000" w:sz="0" w:space="0"/>
        </w:pBdr>
        <w:jc w:val="both"/>
        <w:rPr>
          <w:rFonts w:hint="eastAsia" w:ascii="宋体" w:hAnsi="宋体" w:eastAsia="宋体" w:cs="宋体"/>
          <w:color w:val="auto"/>
          <w:highlight w:val="none"/>
        </w:rPr>
      </w:pPr>
      <w:r>
        <w:rPr>
          <w:rFonts w:hint="eastAsia" w:ascii="宋体" w:hAnsi="宋体" w:eastAsia="宋体" w:cs="宋体"/>
          <w:color w:val="auto"/>
          <w:sz w:val="24"/>
          <w:highlight w:val="none"/>
        </w:rPr>
        <w:t>法定代表人或授权代表（签字或盖章）：</w:t>
      </w:r>
    </w:p>
    <w:p w14:paraId="6EE75BD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7BE0D38E">
      <w:pPr>
        <w:pStyle w:val="31"/>
        <w:spacing w:beforeAutospacing="0" w:afterAutospacing="0" w:line="480" w:lineRule="auto"/>
        <w:jc w:val="both"/>
        <w:rPr>
          <w:rFonts w:hint="eastAsia" w:ascii="宋体" w:hAnsi="宋体" w:eastAsia="宋体" w:cs="宋体"/>
          <w:color w:val="auto"/>
          <w:sz w:val="32"/>
          <w:szCs w:val="32"/>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日期：</w:t>
      </w:r>
      <w:r>
        <w:rPr>
          <w:rFonts w:hint="eastAsia" w:ascii="宋体" w:hAnsi="宋体" w:eastAsia="宋体" w:cs="宋体"/>
          <w:color w:val="auto"/>
          <w:sz w:val="24"/>
          <w:highlight w:val="none"/>
        </w:rPr>
        <w:t xml:space="preserve">    年   月   日</w:t>
      </w:r>
    </w:p>
    <w:p w14:paraId="568F5B37">
      <w:pPr>
        <w:pStyle w:val="257"/>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bookmarkEnd w:id="148"/>
    <w:bookmarkEnd w:id="149"/>
    <w:bookmarkEnd w:id="154"/>
    <w:bookmarkEnd w:id="155"/>
    <w:bookmarkEnd w:id="156"/>
    <w:p w14:paraId="3ACDCA96">
      <w:pPr>
        <w:pStyle w:val="45"/>
        <w:rPr>
          <w:rFonts w:hint="eastAsia" w:ascii="宋体" w:hAnsi="宋体" w:eastAsia="宋体" w:cs="宋体"/>
          <w:b/>
          <w:bCs/>
          <w:color w:val="auto"/>
          <w:sz w:val="32"/>
          <w:szCs w:val="32"/>
          <w:highlight w:val="none"/>
        </w:rPr>
      </w:pPr>
    </w:p>
    <w:p w14:paraId="7B166E6C">
      <w:pPr>
        <w:pStyle w:val="263"/>
        <w:ind w:left="0" w:firstLine="0"/>
        <w:jc w:val="center"/>
        <w:rPr>
          <w:rFonts w:hint="eastAsia" w:ascii="宋体" w:hAnsi="宋体" w:eastAsia="宋体" w:cs="宋体"/>
          <w:b/>
          <w:color w:val="auto"/>
          <w:sz w:val="28"/>
          <w:szCs w:val="28"/>
          <w:highlight w:val="none"/>
        </w:rPr>
      </w:pPr>
    </w:p>
    <w:p w14:paraId="758215DE">
      <w:pPr>
        <w:pStyle w:val="263"/>
        <w:ind w:left="0" w:firstLine="0"/>
        <w:jc w:val="center"/>
        <w:rPr>
          <w:rFonts w:hint="eastAsia" w:ascii="宋体" w:hAnsi="宋体" w:eastAsia="宋体" w:cs="宋体"/>
          <w:b/>
          <w:color w:val="auto"/>
          <w:sz w:val="28"/>
          <w:szCs w:val="28"/>
          <w:highlight w:val="none"/>
        </w:rPr>
      </w:pPr>
    </w:p>
    <w:p w14:paraId="7F7E0D15">
      <w:pPr>
        <w:pStyle w:val="263"/>
        <w:ind w:left="0" w:firstLine="0"/>
        <w:jc w:val="center"/>
        <w:rPr>
          <w:rFonts w:hint="eastAsia" w:ascii="宋体" w:hAnsi="宋体" w:eastAsia="宋体" w:cs="宋体"/>
          <w:b/>
          <w:color w:val="auto"/>
          <w:sz w:val="28"/>
          <w:szCs w:val="28"/>
          <w:highlight w:val="none"/>
        </w:rPr>
      </w:pPr>
    </w:p>
    <w:p w14:paraId="1747D726">
      <w:pPr>
        <w:pStyle w:val="263"/>
        <w:ind w:left="0" w:firstLine="0"/>
        <w:jc w:val="center"/>
        <w:rPr>
          <w:rFonts w:hint="eastAsia" w:ascii="宋体" w:hAnsi="宋体" w:eastAsia="宋体" w:cs="宋体"/>
          <w:b/>
          <w:color w:val="auto"/>
          <w:sz w:val="28"/>
          <w:szCs w:val="28"/>
          <w:highlight w:val="none"/>
        </w:rPr>
      </w:pPr>
    </w:p>
    <w:p w14:paraId="23CF4A27">
      <w:pPr>
        <w:pStyle w:val="263"/>
        <w:ind w:left="0" w:firstLine="0"/>
        <w:jc w:val="center"/>
        <w:rPr>
          <w:rFonts w:hint="eastAsia" w:ascii="宋体" w:hAnsi="宋体" w:eastAsia="宋体" w:cs="宋体"/>
          <w:b/>
          <w:color w:val="auto"/>
          <w:sz w:val="28"/>
          <w:szCs w:val="28"/>
          <w:highlight w:val="none"/>
        </w:rPr>
      </w:pPr>
    </w:p>
    <w:p w14:paraId="3A871E79">
      <w:pPr>
        <w:pStyle w:val="263"/>
        <w:ind w:left="0" w:firstLine="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拟投入</w:t>
      </w:r>
      <w:r>
        <w:rPr>
          <w:rFonts w:hint="eastAsia" w:ascii="宋体" w:hAnsi="宋体" w:eastAsia="宋体" w:cs="宋体"/>
          <w:b/>
          <w:color w:val="auto"/>
          <w:sz w:val="28"/>
          <w:szCs w:val="28"/>
          <w:highlight w:val="none"/>
          <w:lang w:val="en-US" w:eastAsia="zh-CN"/>
        </w:rPr>
        <w:t>本项目</w:t>
      </w:r>
      <w:r>
        <w:rPr>
          <w:rFonts w:hint="eastAsia" w:ascii="宋体" w:hAnsi="宋体" w:eastAsia="宋体" w:cs="宋体"/>
          <w:b/>
          <w:color w:val="auto"/>
          <w:sz w:val="28"/>
          <w:szCs w:val="28"/>
          <w:highlight w:val="none"/>
        </w:rPr>
        <w:t>人员一览表</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2"/>
        <w:gridCol w:w="1233"/>
        <w:gridCol w:w="1049"/>
        <w:gridCol w:w="750"/>
        <w:gridCol w:w="854"/>
        <w:gridCol w:w="956"/>
        <w:gridCol w:w="1091"/>
        <w:gridCol w:w="767"/>
        <w:gridCol w:w="1017"/>
      </w:tblGrid>
      <w:tr w14:paraId="7B85A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jc w:val="center"/>
        </w:trPr>
        <w:tc>
          <w:tcPr>
            <w:tcW w:w="702" w:type="dxa"/>
            <w:vAlign w:val="center"/>
          </w:tcPr>
          <w:p w14:paraId="20B7C5A6">
            <w:pPr>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233" w:type="dxa"/>
            <w:vAlign w:val="center"/>
          </w:tcPr>
          <w:p w14:paraId="4F58083B">
            <w:pPr>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在本项目拟任职务</w:t>
            </w:r>
          </w:p>
        </w:tc>
        <w:tc>
          <w:tcPr>
            <w:tcW w:w="1049" w:type="dxa"/>
            <w:vAlign w:val="center"/>
          </w:tcPr>
          <w:p w14:paraId="723BF575">
            <w:pPr>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750" w:type="dxa"/>
            <w:vAlign w:val="center"/>
          </w:tcPr>
          <w:p w14:paraId="6B3656A9">
            <w:pPr>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年龄</w:t>
            </w:r>
          </w:p>
        </w:tc>
        <w:tc>
          <w:tcPr>
            <w:tcW w:w="854" w:type="dxa"/>
            <w:vAlign w:val="center"/>
          </w:tcPr>
          <w:p w14:paraId="167AC64F">
            <w:pPr>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性别</w:t>
            </w:r>
          </w:p>
        </w:tc>
        <w:tc>
          <w:tcPr>
            <w:tcW w:w="956" w:type="dxa"/>
            <w:vAlign w:val="center"/>
          </w:tcPr>
          <w:p w14:paraId="4D389D5C">
            <w:pPr>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职称</w:t>
            </w:r>
          </w:p>
        </w:tc>
        <w:tc>
          <w:tcPr>
            <w:tcW w:w="1091" w:type="dxa"/>
            <w:vAlign w:val="center"/>
          </w:tcPr>
          <w:p w14:paraId="0A6AA31D">
            <w:pPr>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专业/职称/资格</w:t>
            </w:r>
          </w:p>
        </w:tc>
        <w:tc>
          <w:tcPr>
            <w:tcW w:w="767" w:type="dxa"/>
            <w:vAlign w:val="center"/>
          </w:tcPr>
          <w:p w14:paraId="38771B3B">
            <w:pPr>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从业</w:t>
            </w:r>
          </w:p>
          <w:p w14:paraId="23E33070">
            <w:pPr>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年限</w:t>
            </w:r>
          </w:p>
        </w:tc>
        <w:tc>
          <w:tcPr>
            <w:tcW w:w="1017" w:type="dxa"/>
            <w:vAlign w:val="center"/>
          </w:tcPr>
          <w:p w14:paraId="74EEE19B">
            <w:pPr>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3D72A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02" w:type="dxa"/>
            <w:vAlign w:val="center"/>
          </w:tcPr>
          <w:p w14:paraId="45CB6B96">
            <w:pPr>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233" w:type="dxa"/>
            <w:vAlign w:val="center"/>
          </w:tcPr>
          <w:p w14:paraId="43284F1E">
            <w:pPr>
              <w:spacing w:line="380" w:lineRule="exact"/>
              <w:jc w:val="center"/>
              <w:rPr>
                <w:rFonts w:hint="eastAsia" w:ascii="宋体" w:hAnsi="宋体" w:eastAsia="宋体" w:cs="宋体"/>
                <w:color w:val="auto"/>
                <w:sz w:val="24"/>
                <w:highlight w:val="none"/>
              </w:rPr>
            </w:pPr>
          </w:p>
        </w:tc>
        <w:tc>
          <w:tcPr>
            <w:tcW w:w="1049" w:type="dxa"/>
            <w:vAlign w:val="center"/>
          </w:tcPr>
          <w:p w14:paraId="107FF77C">
            <w:pPr>
              <w:spacing w:line="380" w:lineRule="exact"/>
              <w:jc w:val="center"/>
              <w:rPr>
                <w:rFonts w:hint="eastAsia" w:ascii="宋体" w:hAnsi="宋体" w:eastAsia="宋体" w:cs="宋体"/>
                <w:color w:val="auto"/>
                <w:sz w:val="24"/>
                <w:highlight w:val="none"/>
              </w:rPr>
            </w:pPr>
          </w:p>
        </w:tc>
        <w:tc>
          <w:tcPr>
            <w:tcW w:w="750" w:type="dxa"/>
            <w:vAlign w:val="center"/>
          </w:tcPr>
          <w:p w14:paraId="7BDC865B">
            <w:pPr>
              <w:spacing w:line="380" w:lineRule="exact"/>
              <w:jc w:val="center"/>
              <w:rPr>
                <w:rFonts w:hint="eastAsia" w:ascii="宋体" w:hAnsi="宋体" w:eastAsia="宋体" w:cs="宋体"/>
                <w:color w:val="auto"/>
                <w:sz w:val="24"/>
                <w:highlight w:val="none"/>
              </w:rPr>
            </w:pPr>
          </w:p>
        </w:tc>
        <w:tc>
          <w:tcPr>
            <w:tcW w:w="854" w:type="dxa"/>
            <w:vAlign w:val="center"/>
          </w:tcPr>
          <w:p w14:paraId="2EC12024">
            <w:pPr>
              <w:spacing w:line="380" w:lineRule="exact"/>
              <w:jc w:val="center"/>
              <w:rPr>
                <w:rFonts w:hint="eastAsia" w:ascii="宋体" w:hAnsi="宋体" w:eastAsia="宋体" w:cs="宋体"/>
                <w:color w:val="auto"/>
                <w:sz w:val="24"/>
                <w:highlight w:val="none"/>
              </w:rPr>
            </w:pPr>
          </w:p>
        </w:tc>
        <w:tc>
          <w:tcPr>
            <w:tcW w:w="956" w:type="dxa"/>
            <w:vAlign w:val="center"/>
          </w:tcPr>
          <w:p w14:paraId="797122D4">
            <w:pPr>
              <w:spacing w:line="380" w:lineRule="exact"/>
              <w:jc w:val="center"/>
              <w:rPr>
                <w:rFonts w:hint="eastAsia" w:ascii="宋体" w:hAnsi="宋体" w:eastAsia="宋体" w:cs="宋体"/>
                <w:color w:val="auto"/>
                <w:sz w:val="24"/>
                <w:highlight w:val="none"/>
              </w:rPr>
            </w:pPr>
          </w:p>
        </w:tc>
        <w:tc>
          <w:tcPr>
            <w:tcW w:w="1091" w:type="dxa"/>
            <w:vAlign w:val="center"/>
          </w:tcPr>
          <w:p w14:paraId="61233FCE">
            <w:pPr>
              <w:spacing w:line="380" w:lineRule="exact"/>
              <w:jc w:val="center"/>
              <w:rPr>
                <w:rFonts w:hint="eastAsia" w:ascii="宋体" w:hAnsi="宋体" w:eastAsia="宋体" w:cs="宋体"/>
                <w:color w:val="auto"/>
                <w:sz w:val="24"/>
                <w:highlight w:val="none"/>
              </w:rPr>
            </w:pPr>
          </w:p>
        </w:tc>
        <w:tc>
          <w:tcPr>
            <w:tcW w:w="767" w:type="dxa"/>
          </w:tcPr>
          <w:p w14:paraId="455809C1">
            <w:pPr>
              <w:spacing w:line="380" w:lineRule="exact"/>
              <w:jc w:val="center"/>
              <w:rPr>
                <w:rFonts w:hint="eastAsia" w:ascii="宋体" w:hAnsi="宋体" w:eastAsia="宋体" w:cs="宋体"/>
                <w:color w:val="auto"/>
                <w:sz w:val="24"/>
                <w:highlight w:val="none"/>
              </w:rPr>
            </w:pPr>
          </w:p>
        </w:tc>
        <w:tc>
          <w:tcPr>
            <w:tcW w:w="1017" w:type="dxa"/>
          </w:tcPr>
          <w:p w14:paraId="5074006B">
            <w:pPr>
              <w:spacing w:line="380" w:lineRule="exact"/>
              <w:jc w:val="center"/>
              <w:rPr>
                <w:rFonts w:hint="eastAsia" w:ascii="宋体" w:hAnsi="宋体" w:eastAsia="宋体" w:cs="宋体"/>
                <w:color w:val="auto"/>
                <w:sz w:val="24"/>
                <w:highlight w:val="none"/>
              </w:rPr>
            </w:pPr>
          </w:p>
        </w:tc>
      </w:tr>
      <w:tr w14:paraId="3A25C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02" w:type="dxa"/>
            <w:vAlign w:val="center"/>
          </w:tcPr>
          <w:p w14:paraId="4A319AC9">
            <w:pPr>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233" w:type="dxa"/>
            <w:vAlign w:val="center"/>
          </w:tcPr>
          <w:p w14:paraId="79506A89">
            <w:pPr>
              <w:spacing w:line="380" w:lineRule="exact"/>
              <w:jc w:val="center"/>
              <w:rPr>
                <w:rFonts w:hint="eastAsia" w:ascii="宋体" w:hAnsi="宋体" w:eastAsia="宋体" w:cs="宋体"/>
                <w:color w:val="auto"/>
                <w:sz w:val="24"/>
                <w:highlight w:val="none"/>
              </w:rPr>
            </w:pPr>
          </w:p>
        </w:tc>
        <w:tc>
          <w:tcPr>
            <w:tcW w:w="1049" w:type="dxa"/>
            <w:vAlign w:val="center"/>
          </w:tcPr>
          <w:p w14:paraId="370A49BD">
            <w:pPr>
              <w:spacing w:line="380" w:lineRule="exact"/>
              <w:jc w:val="center"/>
              <w:rPr>
                <w:rFonts w:hint="eastAsia" w:ascii="宋体" w:hAnsi="宋体" w:eastAsia="宋体" w:cs="宋体"/>
                <w:color w:val="auto"/>
                <w:sz w:val="24"/>
                <w:highlight w:val="none"/>
              </w:rPr>
            </w:pPr>
          </w:p>
        </w:tc>
        <w:tc>
          <w:tcPr>
            <w:tcW w:w="750" w:type="dxa"/>
            <w:vAlign w:val="center"/>
          </w:tcPr>
          <w:p w14:paraId="3F4E24BE">
            <w:pPr>
              <w:spacing w:line="380" w:lineRule="exact"/>
              <w:jc w:val="center"/>
              <w:rPr>
                <w:rFonts w:hint="eastAsia" w:ascii="宋体" w:hAnsi="宋体" w:eastAsia="宋体" w:cs="宋体"/>
                <w:color w:val="auto"/>
                <w:sz w:val="24"/>
                <w:highlight w:val="none"/>
              </w:rPr>
            </w:pPr>
          </w:p>
        </w:tc>
        <w:tc>
          <w:tcPr>
            <w:tcW w:w="854" w:type="dxa"/>
            <w:vAlign w:val="center"/>
          </w:tcPr>
          <w:p w14:paraId="05CEA699">
            <w:pPr>
              <w:spacing w:line="380" w:lineRule="exact"/>
              <w:jc w:val="center"/>
              <w:rPr>
                <w:rFonts w:hint="eastAsia" w:ascii="宋体" w:hAnsi="宋体" w:eastAsia="宋体" w:cs="宋体"/>
                <w:color w:val="auto"/>
                <w:sz w:val="24"/>
                <w:highlight w:val="none"/>
              </w:rPr>
            </w:pPr>
          </w:p>
        </w:tc>
        <w:tc>
          <w:tcPr>
            <w:tcW w:w="956" w:type="dxa"/>
            <w:vAlign w:val="center"/>
          </w:tcPr>
          <w:p w14:paraId="42CF5E90">
            <w:pPr>
              <w:spacing w:line="380" w:lineRule="exact"/>
              <w:jc w:val="center"/>
              <w:rPr>
                <w:rFonts w:hint="eastAsia" w:ascii="宋体" w:hAnsi="宋体" w:eastAsia="宋体" w:cs="宋体"/>
                <w:color w:val="auto"/>
                <w:sz w:val="24"/>
                <w:highlight w:val="none"/>
              </w:rPr>
            </w:pPr>
          </w:p>
        </w:tc>
        <w:tc>
          <w:tcPr>
            <w:tcW w:w="1091" w:type="dxa"/>
            <w:vAlign w:val="center"/>
          </w:tcPr>
          <w:p w14:paraId="41292BED">
            <w:pPr>
              <w:spacing w:line="380" w:lineRule="exact"/>
              <w:jc w:val="center"/>
              <w:rPr>
                <w:rFonts w:hint="eastAsia" w:ascii="宋体" w:hAnsi="宋体" w:eastAsia="宋体" w:cs="宋体"/>
                <w:color w:val="auto"/>
                <w:sz w:val="24"/>
                <w:highlight w:val="none"/>
              </w:rPr>
            </w:pPr>
          </w:p>
        </w:tc>
        <w:tc>
          <w:tcPr>
            <w:tcW w:w="767" w:type="dxa"/>
          </w:tcPr>
          <w:p w14:paraId="698A9F4B">
            <w:pPr>
              <w:spacing w:line="380" w:lineRule="exact"/>
              <w:jc w:val="center"/>
              <w:rPr>
                <w:rFonts w:hint="eastAsia" w:ascii="宋体" w:hAnsi="宋体" w:eastAsia="宋体" w:cs="宋体"/>
                <w:color w:val="auto"/>
                <w:sz w:val="24"/>
                <w:highlight w:val="none"/>
              </w:rPr>
            </w:pPr>
          </w:p>
        </w:tc>
        <w:tc>
          <w:tcPr>
            <w:tcW w:w="1017" w:type="dxa"/>
          </w:tcPr>
          <w:p w14:paraId="178B7782">
            <w:pPr>
              <w:spacing w:line="380" w:lineRule="exact"/>
              <w:jc w:val="center"/>
              <w:rPr>
                <w:rFonts w:hint="eastAsia" w:ascii="宋体" w:hAnsi="宋体" w:eastAsia="宋体" w:cs="宋体"/>
                <w:color w:val="auto"/>
                <w:sz w:val="24"/>
                <w:highlight w:val="none"/>
              </w:rPr>
            </w:pPr>
          </w:p>
        </w:tc>
      </w:tr>
      <w:tr w14:paraId="5AAF2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7" w:hRule="atLeast"/>
          <w:jc w:val="center"/>
        </w:trPr>
        <w:tc>
          <w:tcPr>
            <w:tcW w:w="702" w:type="dxa"/>
            <w:vAlign w:val="center"/>
          </w:tcPr>
          <w:p w14:paraId="25AB3299">
            <w:pPr>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233" w:type="dxa"/>
            <w:vAlign w:val="center"/>
          </w:tcPr>
          <w:p w14:paraId="1F217B35">
            <w:pPr>
              <w:spacing w:line="380" w:lineRule="exact"/>
              <w:jc w:val="center"/>
              <w:rPr>
                <w:rFonts w:hint="eastAsia" w:ascii="宋体" w:hAnsi="宋体" w:eastAsia="宋体" w:cs="宋体"/>
                <w:color w:val="auto"/>
                <w:sz w:val="24"/>
                <w:highlight w:val="none"/>
              </w:rPr>
            </w:pPr>
          </w:p>
        </w:tc>
        <w:tc>
          <w:tcPr>
            <w:tcW w:w="1049" w:type="dxa"/>
            <w:vAlign w:val="center"/>
          </w:tcPr>
          <w:p w14:paraId="0EABDA8A">
            <w:pPr>
              <w:spacing w:line="380" w:lineRule="exact"/>
              <w:jc w:val="center"/>
              <w:rPr>
                <w:rFonts w:hint="eastAsia" w:ascii="宋体" w:hAnsi="宋体" w:eastAsia="宋体" w:cs="宋体"/>
                <w:color w:val="auto"/>
                <w:sz w:val="24"/>
                <w:highlight w:val="none"/>
              </w:rPr>
            </w:pPr>
          </w:p>
        </w:tc>
        <w:tc>
          <w:tcPr>
            <w:tcW w:w="750" w:type="dxa"/>
            <w:vAlign w:val="center"/>
          </w:tcPr>
          <w:p w14:paraId="4AD6BF2E">
            <w:pPr>
              <w:spacing w:line="380" w:lineRule="exact"/>
              <w:jc w:val="center"/>
              <w:rPr>
                <w:rFonts w:hint="eastAsia" w:ascii="宋体" w:hAnsi="宋体" w:eastAsia="宋体" w:cs="宋体"/>
                <w:color w:val="auto"/>
                <w:sz w:val="24"/>
                <w:highlight w:val="none"/>
              </w:rPr>
            </w:pPr>
          </w:p>
        </w:tc>
        <w:tc>
          <w:tcPr>
            <w:tcW w:w="854" w:type="dxa"/>
            <w:vAlign w:val="center"/>
          </w:tcPr>
          <w:p w14:paraId="394E289B">
            <w:pPr>
              <w:spacing w:line="380" w:lineRule="exact"/>
              <w:jc w:val="center"/>
              <w:rPr>
                <w:rFonts w:hint="eastAsia" w:ascii="宋体" w:hAnsi="宋体" w:eastAsia="宋体" w:cs="宋体"/>
                <w:color w:val="auto"/>
                <w:sz w:val="24"/>
                <w:highlight w:val="none"/>
              </w:rPr>
            </w:pPr>
          </w:p>
        </w:tc>
        <w:tc>
          <w:tcPr>
            <w:tcW w:w="956" w:type="dxa"/>
            <w:vAlign w:val="center"/>
          </w:tcPr>
          <w:p w14:paraId="58282FA1">
            <w:pPr>
              <w:spacing w:line="380" w:lineRule="exact"/>
              <w:jc w:val="center"/>
              <w:rPr>
                <w:rFonts w:hint="eastAsia" w:ascii="宋体" w:hAnsi="宋体" w:eastAsia="宋体" w:cs="宋体"/>
                <w:color w:val="auto"/>
                <w:sz w:val="24"/>
                <w:highlight w:val="none"/>
              </w:rPr>
            </w:pPr>
          </w:p>
        </w:tc>
        <w:tc>
          <w:tcPr>
            <w:tcW w:w="1091" w:type="dxa"/>
            <w:vAlign w:val="center"/>
          </w:tcPr>
          <w:p w14:paraId="71DBEA41">
            <w:pPr>
              <w:spacing w:line="380" w:lineRule="exact"/>
              <w:jc w:val="center"/>
              <w:rPr>
                <w:rFonts w:hint="eastAsia" w:ascii="宋体" w:hAnsi="宋体" w:eastAsia="宋体" w:cs="宋体"/>
                <w:color w:val="auto"/>
                <w:sz w:val="24"/>
                <w:highlight w:val="none"/>
              </w:rPr>
            </w:pPr>
          </w:p>
        </w:tc>
        <w:tc>
          <w:tcPr>
            <w:tcW w:w="767" w:type="dxa"/>
          </w:tcPr>
          <w:p w14:paraId="06F4B9D1">
            <w:pPr>
              <w:spacing w:line="380" w:lineRule="exact"/>
              <w:jc w:val="center"/>
              <w:rPr>
                <w:rFonts w:hint="eastAsia" w:ascii="宋体" w:hAnsi="宋体" w:eastAsia="宋体" w:cs="宋体"/>
                <w:color w:val="auto"/>
                <w:sz w:val="24"/>
                <w:highlight w:val="none"/>
              </w:rPr>
            </w:pPr>
          </w:p>
        </w:tc>
        <w:tc>
          <w:tcPr>
            <w:tcW w:w="1017" w:type="dxa"/>
            <w:vAlign w:val="center"/>
          </w:tcPr>
          <w:p w14:paraId="2E24F2AF">
            <w:pPr>
              <w:spacing w:line="380" w:lineRule="exact"/>
              <w:jc w:val="center"/>
              <w:rPr>
                <w:rFonts w:hint="eastAsia" w:ascii="宋体" w:hAnsi="宋体" w:eastAsia="宋体" w:cs="宋体"/>
                <w:color w:val="auto"/>
                <w:sz w:val="24"/>
                <w:highlight w:val="none"/>
              </w:rPr>
            </w:pPr>
          </w:p>
        </w:tc>
      </w:tr>
      <w:tr w14:paraId="767AA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3" w:hRule="atLeast"/>
          <w:jc w:val="center"/>
        </w:trPr>
        <w:tc>
          <w:tcPr>
            <w:tcW w:w="702" w:type="dxa"/>
            <w:vAlign w:val="center"/>
          </w:tcPr>
          <w:p w14:paraId="23752C0B">
            <w:pPr>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233" w:type="dxa"/>
            <w:vAlign w:val="center"/>
          </w:tcPr>
          <w:p w14:paraId="13F80D69">
            <w:pPr>
              <w:spacing w:line="380" w:lineRule="exact"/>
              <w:jc w:val="center"/>
              <w:rPr>
                <w:rFonts w:hint="eastAsia" w:ascii="宋体" w:hAnsi="宋体" w:eastAsia="宋体" w:cs="宋体"/>
                <w:color w:val="auto"/>
                <w:sz w:val="24"/>
                <w:highlight w:val="none"/>
                <w:lang w:val="en-US" w:eastAsia="zh-CN"/>
              </w:rPr>
            </w:pPr>
          </w:p>
        </w:tc>
        <w:tc>
          <w:tcPr>
            <w:tcW w:w="1049" w:type="dxa"/>
            <w:vAlign w:val="center"/>
          </w:tcPr>
          <w:p w14:paraId="60C873AF">
            <w:pPr>
              <w:spacing w:line="380" w:lineRule="exact"/>
              <w:jc w:val="center"/>
              <w:rPr>
                <w:rFonts w:hint="eastAsia" w:ascii="宋体" w:hAnsi="宋体" w:eastAsia="宋体" w:cs="宋体"/>
                <w:color w:val="auto"/>
                <w:sz w:val="24"/>
                <w:highlight w:val="none"/>
              </w:rPr>
            </w:pPr>
          </w:p>
        </w:tc>
        <w:tc>
          <w:tcPr>
            <w:tcW w:w="750" w:type="dxa"/>
            <w:vAlign w:val="center"/>
          </w:tcPr>
          <w:p w14:paraId="5556AD48">
            <w:pPr>
              <w:spacing w:line="380" w:lineRule="exact"/>
              <w:jc w:val="center"/>
              <w:rPr>
                <w:rFonts w:hint="eastAsia" w:ascii="宋体" w:hAnsi="宋体" w:eastAsia="宋体" w:cs="宋体"/>
                <w:color w:val="auto"/>
                <w:sz w:val="24"/>
                <w:highlight w:val="none"/>
              </w:rPr>
            </w:pPr>
          </w:p>
        </w:tc>
        <w:tc>
          <w:tcPr>
            <w:tcW w:w="854" w:type="dxa"/>
            <w:vAlign w:val="center"/>
          </w:tcPr>
          <w:p w14:paraId="2F358EFA">
            <w:pPr>
              <w:spacing w:line="380" w:lineRule="exact"/>
              <w:jc w:val="center"/>
              <w:rPr>
                <w:rFonts w:hint="eastAsia" w:ascii="宋体" w:hAnsi="宋体" w:eastAsia="宋体" w:cs="宋体"/>
                <w:color w:val="auto"/>
                <w:sz w:val="24"/>
                <w:highlight w:val="none"/>
              </w:rPr>
            </w:pPr>
          </w:p>
        </w:tc>
        <w:tc>
          <w:tcPr>
            <w:tcW w:w="956" w:type="dxa"/>
            <w:vAlign w:val="center"/>
          </w:tcPr>
          <w:p w14:paraId="2E53AD27">
            <w:pPr>
              <w:spacing w:line="380" w:lineRule="exact"/>
              <w:jc w:val="center"/>
              <w:rPr>
                <w:rFonts w:hint="eastAsia" w:ascii="宋体" w:hAnsi="宋体" w:eastAsia="宋体" w:cs="宋体"/>
                <w:color w:val="auto"/>
                <w:sz w:val="24"/>
                <w:highlight w:val="none"/>
              </w:rPr>
            </w:pPr>
          </w:p>
        </w:tc>
        <w:tc>
          <w:tcPr>
            <w:tcW w:w="1091" w:type="dxa"/>
            <w:vAlign w:val="center"/>
          </w:tcPr>
          <w:p w14:paraId="7F9302BC">
            <w:pPr>
              <w:spacing w:line="380" w:lineRule="exact"/>
              <w:jc w:val="center"/>
              <w:rPr>
                <w:rFonts w:hint="eastAsia" w:ascii="宋体" w:hAnsi="宋体" w:eastAsia="宋体" w:cs="宋体"/>
                <w:color w:val="auto"/>
                <w:sz w:val="24"/>
                <w:highlight w:val="none"/>
              </w:rPr>
            </w:pPr>
          </w:p>
        </w:tc>
        <w:tc>
          <w:tcPr>
            <w:tcW w:w="767" w:type="dxa"/>
          </w:tcPr>
          <w:p w14:paraId="186D5969">
            <w:pPr>
              <w:spacing w:line="380" w:lineRule="exact"/>
              <w:jc w:val="center"/>
              <w:rPr>
                <w:rFonts w:hint="eastAsia" w:ascii="宋体" w:hAnsi="宋体" w:eastAsia="宋体" w:cs="宋体"/>
                <w:color w:val="auto"/>
                <w:sz w:val="24"/>
                <w:highlight w:val="none"/>
              </w:rPr>
            </w:pPr>
          </w:p>
        </w:tc>
        <w:tc>
          <w:tcPr>
            <w:tcW w:w="1017" w:type="dxa"/>
            <w:vAlign w:val="center"/>
          </w:tcPr>
          <w:p w14:paraId="1C2D6580">
            <w:pPr>
              <w:spacing w:line="380" w:lineRule="exact"/>
              <w:jc w:val="center"/>
              <w:rPr>
                <w:rFonts w:hint="eastAsia" w:ascii="宋体" w:hAnsi="宋体" w:eastAsia="宋体" w:cs="宋体"/>
                <w:color w:val="auto"/>
                <w:sz w:val="24"/>
                <w:highlight w:val="none"/>
              </w:rPr>
            </w:pPr>
          </w:p>
        </w:tc>
      </w:tr>
      <w:tr w14:paraId="10739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02" w:type="dxa"/>
            <w:vAlign w:val="center"/>
          </w:tcPr>
          <w:p w14:paraId="5644C37B">
            <w:pPr>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233" w:type="dxa"/>
            <w:vAlign w:val="center"/>
          </w:tcPr>
          <w:p w14:paraId="50457EBB">
            <w:pPr>
              <w:spacing w:line="380" w:lineRule="exact"/>
              <w:jc w:val="center"/>
              <w:rPr>
                <w:rFonts w:hint="eastAsia" w:ascii="宋体" w:hAnsi="宋体" w:eastAsia="宋体" w:cs="宋体"/>
                <w:color w:val="auto"/>
                <w:sz w:val="24"/>
                <w:highlight w:val="none"/>
              </w:rPr>
            </w:pPr>
          </w:p>
        </w:tc>
        <w:tc>
          <w:tcPr>
            <w:tcW w:w="1049" w:type="dxa"/>
            <w:vAlign w:val="center"/>
          </w:tcPr>
          <w:p w14:paraId="1AEA0CEA">
            <w:pPr>
              <w:spacing w:line="380" w:lineRule="exact"/>
              <w:jc w:val="center"/>
              <w:rPr>
                <w:rFonts w:hint="eastAsia" w:ascii="宋体" w:hAnsi="宋体" w:eastAsia="宋体" w:cs="宋体"/>
                <w:color w:val="auto"/>
                <w:sz w:val="24"/>
                <w:highlight w:val="none"/>
              </w:rPr>
            </w:pPr>
          </w:p>
        </w:tc>
        <w:tc>
          <w:tcPr>
            <w:tcW w:w="750" w:type="dxa"/>
            <w:vAlign w:val="center"/>
          </w:tcPr>
          <w:p w14:paraId="55459554">
            <w:pPr>
              <w:spacing w:line="380" w:lineRule="exact"/>
              <w:jc w:val="center"/>
              <w:rPr>
                <w:rFonts w:hint="eastAsia" w:ascii="宋体" w:hAnsi="宋体" w:eastAsia="宋体" w:cs="宋体"/>
                <w:color w:val="auto"/>
                <w:sz w:val="24"/>
                <w:highlight w:val="none"/>
              </w:rPr>
            </w:pPr>
          </w:p>
        </w:tc>
        <w:tc>
          <w:tcPr>
            <w:tcW w:w="854" w:type="dxa"/>
            <w:vAlign w:val="center"/>
          </w:tcPr>
          <w:p w14:paraId="273F9F94">
            <w:pPr>
              <w:spacing w:line="380" w:lineRule="exact"/>
              <w:jc w:val="center"/>
              <w:rPr>
                <w:rFonts w:hint="eastAsia" w:ascii="宋体" w:hAnsi="宋体" w:eastAsia="宋体" w:cs="宋体"/>
                <w:color w:val="auto"/>
                <w:sz w:val="24"/>
                <w:highlight w:val="none"/>
              </w:rPr>
            </w:pPr>
          </w:p>
        </w:tc>
        <w:tc>
          <w:tcPr>
            <w:tcW w:w="956" w:type="dxa"/>
            <w:vAlign w:val="center"/>
          </w:tcPr>
          <w:p w14:paraId="2A914E4E">
            <w:pPr>
              <w:spacing w:line="380" w:lineRule="exact"/>
              <w:jc w:val="center"/>
              <w:rPr>
                <w:rFonts w:hint="eastAsia" w:ascii="宋体" w:hAnsi="宋体" w:eastAsia="宋体" w:cs="宋体"/>
                <w:color w:val="auto"/>
                <w:sz w:val="24"/>
                <w:highlight w:val="none"/>
              </w:rPr>
            </w:pPr>
          </w:p>
        </w:tc>
        <w:tc>
          <w:tcPr>
            <w:tcW w:w="1091" w:type="dxa"/>
            <w:vAlign w:val="center"/>
          </w:tcPr>
          <w:p w14:paraId="02164C0B">
            <w:pPr>
              <w:spacing w:line="380" w:lineRule="exact"/>
              <w:jc w:val="center"/>
              <w:rPr>
                <w:rFonts w:hint="eastAsia" w:ascii="宋体" w:hAnsi="宋体" w:eastAsia="宋体" w:cs="宋体"/>
                <w:color w:val="auto"/>
                <w:sz w:val="24"/>
                <w:highlight w:val="none"/>
              </w:rPr>
            </w:pPr>
          </w:p>
        </w:tc>
        <w:tc>
          <w:tcPr>
            <w:tcW w:w="767" w:type="dxa"/>
          </w:tcPr>
          <w:p w14:paraId="2A6F33E6">
            <w:pPr>
              <w:spacing w:line="380" w:lineRule="exact"/>
              <w:jc w:val="center"/>
              <w:rPr>
                <w:rFonts w:hint="eastAsia" w:ascii="宋体" w:hAnsi="宋体" w:eastAsia="宋体" w:cs="宋体"/>
                <w:color w:val="auto"/>
                <w:sz w:val="24"/>
                <w:highlight w:val="none"/>
              </w:rPr>
            </w:pPr>
          </w:p>
        </w:tc>
        <w:tc>
          <w:tcPr>
            <w:tcW w:w="1017" w:type="dxa"/>
            <w:vAlign w:val="center"/>
          </w:tcPr>
          <w:p w14:paraId="47E360C0">
            <w:pPr>
              <w:spacing w:line="380" w:lineRule="exact"/>
              <w:jc w:val="center"/>
              <w:rPr>
                <w:rFonts w:hint="eastAsia" w:ascii="宋体" w:hAnsi="宋体" w:eastAsia="宋体" w:cs="宋体"/>
                <w:color w:val="auto"/>
                <w:sz w:val="24"/>
                <w:highlight w:val="none"/>
              </w:rPr>
            </w:pPr>
          </w:p>
        </w:tc>
      </w:tr>
      <w:tr w14:paraId="74F11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02" w:type="dxa"/>
            <w:vAlign w:val="center"/>
          </w:tcPr>
          <w:p w14:paraId="0C0C798F">
            <w:pPr>
              <w:spacing w:line="38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c>
          <w:tcPr>
            <w:tcW w:w="1233" w:type="dxa"/>
            <w:vAlign w:val="center"/>
          </w:tcPr>
          <w:p w14:paraId="50441000">
            <w:pPr>
              <w:spacing w:line="380" w:lineRule="exact"/>
              <w:jc w:val="center"/>
              <w:rPr>
                <w:rFonts w:hint="eastAsia" w:ascii="宋体" w:hAnsi="宋体" w:eastAsia="宋体" w:cs="宋体"/>
                <w:color w:val="auto"/>
                <w:sz w:val="24"/>
                <w:highlight w:val="none"/>
              </w:rPr>
            </w:pPr>
          </w:p>
        </w:tc>
        <w:tc>
          <w:tcPr>
            <w:tcW w:w="1049" w:type="dxa"/>
            <w:vAlign w:val="center"/>
          </w:tcPr>
          <w:p w14:paraId="1F51B0C8">
            <w:pPr>
              <w:spacing w:line="380" w:lineRule="exact"/>
              <w:jc w:val="center"/>
              <w:rPr>
                <w:rFonts w:hint="eastAsia" w:ascii="宋体" w:hAnsi="宋体" w:eastAsia="宋体" w:cs="宋体"/>
                <w:color w:val="auto"/>
                <w:sz w:val="24"/>
                <w:highlight w:val="none"/>
              </w:rPr>
            </w:pPr>
          </w:p>
        </w:tc>
        <w:tc>
          <w:tcPr>
            <w:tcW w:w="750" w:type="dxa"/>
            <w:vAlign w:val="center"/>
          </w:tcPr>
          <w:p w14:paraId="29C8EBBD">
            <w:pPr>
              <w:spacing w:line="380" w:lineRule="exact"/>
              <w:jc w:val="center"/>
              <w:rPr>
                <w:rFonts w:hint="eastAsia" w:ascii="宋体" w:hAnsi="宋体" w:eastAsia="宋体" w:cs="宋体"/>
                <w:color w:val="auto"/>
                <w:sz w:val="24"/>
                <w:highlight w:val="none"/>
              </w:rPr>
            </w:pPr>
          </w:p>
        </w:tc>
        <w:tc>
          <w:tcPr>
            <w:tcW w:w="854" w:type="dxa"/>
            <w:vAlign w:val="center"/>
          </w:tcPr>
          <w:p w14:paraId="5E5A1EE1">
            <w:pPr>
              <w:spacing w:line="380" w:lineRule="exact"/>
              <w:jc w:val="center"/>
              <w:rPr>
                <w:rFonts w:hint="eastAsia" w:ascii="宋体" w:hAnsi="宋体" w:eastAsia="宋体" w:cs="宋体"/>
                <w:color w:val="auto"/>
                <w:sz w:val="24"/>
                <w:highlight w:val="none"/>
              </w:rPr>
            </w:pPr>
          </w:p>
        </w:tc>
        <w:tc>
          <w:tcPr>
            <w:tcW w:w="956" w:type="dxa"/>
            <w:vAlign w:val="center"/>
          </w:tcPr>
          <w:p w14:paraId="6D7B0233">
            <w:pPr>
              <w:spacing w:line="380" w:lineRule="exact"/>
              <w:jc w:val="center"/>
              <w:rPr>
                <w:rFonts w:hint="eastAsia" w:ascii="宋体" w:hAnsi="宋体" w:eastAsia="宋体" w:cs="宋体"/>
                <w:color w:val="auto"/>
                <w:sz w:val="24"/>
                <w:highlight w:val="none"/>
              </w:rPr>
            </w:pPr>
          </w:p>
        </w:tc>
        <w:tc>
          <w:tcPr>
            <w:tcW w:w="1091" w:type="dxa"/>
            <w:vAlign w:val="center"/>
          </w:tcPr>
          <w:p w14:paraId="7BF09797">
            <w:pPr>
              <w:spacing w:line="380" w:lineRule="exact"/>
              <w:jc w:val="center"/>
              <w:rPr>
                <w:rFonts w:hint="eastAsia" w:ascii="宋体" w:hAnsi="宋体" w:eastAsia="宋体" w:cs="宋体"/>
                <w:color w:val="auto"/>
                <w:sz w:val="24"/>
                <w:highlight w:val="none"/>
              </w:rPr>
            </w:pPr>
          </w:p>
        </w:tc>
        <w:tc>
          <w:tcPr>
            <w:tcW w:w="767" w:type="dxa"/>
          </w:tcPr>
          <w:p w14:paraId="470D9F1D">
            <w:pPr>
              <w:spacing w:line="380" w:lineRule="exact"/>
              <w:jc w:val="center"/>
              <w:rPr>
                <w:rFonts w:hint="eastAsia" w:ascii="宋体" w:hAnsi="宋体" w:eastAsia="宋体" w:cs="宋体"/>
                <w:color w:val="auto"/>
                <w:sz w:val="24"/>
                <w:highlight w:val="none"/>
              </w:rPr>
            </w:pPr>
          </w:p>
        </w:tc>
        <w:tc>
          <w:tcPr>
            <w:tcW w:w="1017" w:type="dxa"/>
          </w:tcPr>
          <w:p w14:paraId="30032821">
            <w:pPr>
              <w:spacing w:line="380" w:lineRule="exact"/>
              <w:jc w:val="center"/>
              <w:rPr>
                <w:rFonts w:hint="eastAsia" w:ascii="宋体" w:hAnsi="宋体" w:eastAsia="宋体" w:cs="宋体"/>
                <w:color w:val="auto"/>
                <w:sz w:val="24"/>
                <w:highlight w:val="none"/>
              </w:rPr>
            </w:pPr>
          </w:p>
        </w:tc>
      </w:tr>
      <w:tr w14:paraId="62149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02" w:type="dxa"/>
            <w:vAlign w:val="center"/>
          </w:tcPr>
          <w:p w14:paraId="26D99D08">
            <w:pPr>
              <w:spacing w:line="38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w:t>
            </w:r>
          </w:p>
        </w:tc>
        <w:tc>
          <w:tcPr>
            <w:tcW w:w="1233" w:type="dxa"/>
            <w:vAlign w:val="center"/>
          </w:tcPr>
          <w:p w14:paraId="5B7253BB">
            <w:pPr>
              <w:spacing w:line="380" w:lineRule="exact"/>
              <w:jc w:val="center"/>
              <w:rPr>
                <w:rFonts w:hint="eastAsia" w:ascii="宋体" w:hAnsi="宋体" w:eastAsia="宋体" w:cs="宋体"/>
                <w:color w:val="auto"/>
                <w:sz w:val="24"/>
                <w:highlight w:val="none"/>
              </w:rPr>
            </w:pPr>
          </w:p>
        </w:tc>
        <w:tc>
          <w:tcPr>
            <w:tcW w:w="1049" w:type="dxa"/>
            <w:vAlign w:val="center"/>
          </w:tcPr>
          <w:p w14:paraId="1F08B6A9">
            <w:pPr>
              <w:spacing w:line="380" w:lineRule="exact"/>
              <w:jc w:val="center"/>
              <w:rPr>
                <w:rFonts w:hint="eastAsia" w:ascii="宋体" w:hAnsi="宋体" w:eastAsia="宋体" w:cs="宋体"/>
                <w:color w:val="auto"/>
                <w:sz w:val="24"/>
                <w:highlight w:val="none"/>
              </w:rPr>
            </w:pPr>
          </w:p>
        </w:tc>
        <w:tc>
          <w:tcPr>
            <w:tcW w:w="750" w:type="dxa"/>
            <w:vAlign w:val="center"/>
          </w:tcPr>
          <w:p w14:paraId="69B7F0A6">
            <w:pPr>
              <w:spacing w:line="380" w:lineRule="exact"/>
              <w:jc w:val="center"/>
              <w:rPr>
                <w:rFonts w:hint="eastAsia" w:ascii="宋体" w:hAnsi="宋体" w:eastAsia="宋体" w:cs="宋体"/>
                <w:color w:val="auto"/>
                <w:sz w:val="24"/>
                <w:highlight w:val="none"/>
              </w:rPr>
            </w:pPr>
          </w:p>
        </w:tc>
        <w:tc>
          <w:tcPr>
            <w:tcW w:w="854" w:type="dxa"/>
            <w:vAlign w:val="center"/>
          </w:tcPr>
          <w:p w14:paraId="61A05EF7">
            <w:pPr>
              <w:spacing w:line="380" w:lineRule="exact"/>
              <w:jc w:val="center"/>
              <w:rPr>
                <w:rFonts w:hint="eastAsia" w:ascii="宋体" w:hAnsi="宋体" w:eastAsia="宋体" w:cs="宋体"/>
                <w:color w:val="auto"/>
                <w:sz w:val="24"/>
                <w:highlight w:val="none"/>
              </w:rPr>
            </w:pPr>
          </w:p>
        </w:tc>
        <w:tc>
          <w:tcPr>
            <w:tcW w:w="956" w:type="dxa"/>
            <w:vAlign w:val="center"/>
          </w:tcPr>
          <w:p w14:paraId="72158631">
            <w:pPr>
              <w:spacing w:line="380" w:lineRule="exact"/>
              <w:jc w:val="center"/>
              <w:rPr>
                <w:rFonts w:hint="eastAsia" w:ascii="宋体" w:hAnsi="宋体" w:eastAsia="宋体" w:cs="宋体"/>
                <w:color w:val="auto"/>
                <w:sz w:val="24"/>
                <w:highlight w:val="none"/>
              </w:rPr>
            </w:pPr>
          </w:p>
        </w:tc>
        <w:tc>
          <w:tcPr>
            <w:tcW w:w="1091" w:type="dxa"/>
            <w:vAlign w:val="center"/>
          </w:tcPr>
          <w:p w14:paraId="49F27AE9">
            <w:pPr>
              <w:spacing w:line="380" w:lineRule="exact"/>
              <w:jc w:val="center"/>
              <w:rPr>
                <w:rFonts w:hint="eastAsia" w:ascii="宋体" w:hAnsi="宋体" w:eastAsia="宋体" w:cs="宋体"/>
                <w:color w:val="auto"/>
                <w:sz w:val="24"/>
                <w:highlight w:val="none"/>
              </w:rPr>
            </w:pPr>
          </w:p>
        </w:tc>
        <w:tc>
          <w:tcPr>
            <w:tcW w:w="767" w:type="dxa"/>
          </w:tcPr>
          <w:p w14:paraId="1B528169">
            <w:pPr>
              <w:spacing w:line="380" w:lineRule="exact"/>
              <w:jc w:val="center"/>
              <w:rPr>
                <w:rFonts w:hint="eastAsia" w:ascii="宋体" w:hAnsi="宋体" w:eastAsia="宋体" w:cs="宋体"/>
                <w:color w:val="auto"/>
                <w:sz w:val="24"/>
                <w:highlight w:val="none"/>
              </w:rPr>
            </w:pPr>
          </w:p>
        </w:tc>
        <w:tc>
          <w:tcPr>
            <w:tcW w:w="1017" w:type="dxa"/>
          </w:tcPr>
          <w:p w14:paraId="582D3C8B">
            <w:pPr>
              <w:spacing w:line="380" w:lineRule="exact"/>
              <w:jc w:val="center"/>
              <w:rPr>
                <w:rFonts w:hint="eastAsia" w:ascii="宋体" w:hAnsi="宋体" w:eastAsia="宋体" w:cs="宋体"/>
                <w:color w:val="auto"/>
                <w:sz w:val="24"/>
                <w:highlight w:val="none"/>
              </w:rPr>
            </w:pPr>
          </w:p>
        </w:tc>
      </w:tr>
      <w:tr w14:paraId="0932E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02" w:type="dxa"/>
            <w:vAlign w:val="center"/>
          </w:tcPr>
          <w:p w14:paraId="7FA4C7E7">
            <w:pPr>
              <w:spacing w:line="38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w:t>
            </w:r>
          </w:p>
        </w:tc>
        <w:tc>
          <w:tcPr>
            <w:tcW w:w="1233" w:type="dxa"/>
            <w:vAlign w:val="center"/>
          </w:tcPr>
          <w:p w14:paraId="5C1FB032">
            <w:pPr>
              <w:spacing w:line="380" w:lineRule="exact"/>
              <w:jc w:val="center"/>
              <w:rPr>
                <w:rFonts w:hint="eastAsia" w:ascii="宋体" w:hAnsi="宋体" w:eastAsia="宋体" w:cs="宋体"/>
                <w:color w:val="auto"/>
                <w:sz w:val="24"/>
                <w:highlight w:val="none"/>
              </w:rPr>
            </w:pPr>
          </w:p>
        </w:tc>
        <w:tc>
          <w:tcPr>
            <w:tcW w:w="1049" w:type="dxa"/>
            <w:vAlign w:val="center"/>
          </w:tcPr>
          <w:p w14:paraId="2A76AAAE">
            <w:pPr>
              <w:spacing w:line="380" w:lineRule="exact"/>
              <w:jc w:val="center"/>
              <w:rPr>
                <w:rFonts w:hint="eastAsia" w:ascii="宋体" w:hAnsi="宋体" w:eastAsia="宋体" w:cs="宋体"/>
                <w:color w:val="auto"/>
                <w:sz w:val="24"/>
                <w:highlight w:val="none"/>
              </w:rPr>
            </w:pPr>
          </w:p>
        </w:tc>
        <w:tc>
          <w:tcPr>
            <w:tcW w:w="750" w:type="dxa"/>
            <w:vAlign w:val="center"/>
          </w:tcPr>
          <w:p w14:paraId="090FA9A9">
            <w:pPr>
              <w:spacing w:line="380" w:lineRule="exact"/>
              <w:jc w:val="center"/>
              <w:rPr>
                <w:rFonts w:hint="eastAsia" w:ascii="宋体" w:hAnsi="宋体" w:eastAsia="宋体" w:cs="宋体"/>
                <w:color w:val="auto"/>
                <w:sz w:val="24"/>
                <w:highlight w:val="none"/>
              </w:rPr>
            </w:pPr>
          </w:p>
        </w:tc>
        <w:tc>
          <w:tcPr>
            <w:tcW w:w="854" w:type="dxa"/>
            <w:vAlign w:val="center"/>
          </w:tcPr>
          <w:p w14:paraId="7511323F">
            <w:pPr>
              <w:spacing w:line="380" w:lineRule="exact"/>
              <w:jc w:val="center"/>
              <w:rPr>
                <w:rFonts w:hint="eastAsia" w:ascii="宋体" w:hAnsi="宋体" w:eastAsia="宋体" w:cs="宋体"/>
                <w:color w:val="auto"/>
                <w:sz w:val="24"/>
                <w:highlight w:val="none"/>
              </w:rPr>
            </w:pPr>
          </w:p>
        </w:tc>
        <w:tc>
          <w:tcPr>
            <w:tcW w:w="956" w:type="dxa"/>
            <w:vAlign w:val="center"/>
          </w:tcPr>
          <w:p w14:paraId="4F919D35">
            <w:pPr>
              <w:spacing w:line="380" w:lineRule="exact"/>
              <w:jc w:val="center"/>
              <w:rPr>
                <w:rFonts w:hint="eastAsia" w:ascii="宋体" w:hAnsi="宋体" w:eastAsia="宋体" w:cs="宋体"/>
                <w:color w:val="auto"/>
                <w:sz w:val="24"/>
                <w:highlight w:val="none"/>
              </w:rPr>
            </w:pPr>
          </w:p>
        </w:tc>
        <w:tc>
          <w:tcPr>
            <w:tcW w:w="1091" w:type="dxa"/>
            <w:vAlign w:val="center"/>
          </w:tcPr>
          <w:p w14:paraId="26D70426">
            <w:pPr>
              <w:spacing w:line="380" w:lineRule="exact"/>
              <w:jc w:val="center"/>
              <w:rPr>
                <w:rFonts w:hint="eastAsia" w:ascii="宋体" w:hAnsi="宋体" w:eastAsia="宋体" w:cs="宋体"/>
                <w:color w:val="auto"/>
                <w:sz w:val="24"/>
                <w:highlight w:val="none"/>
              </w:rPr>
            </w:pPr>
          </w:p>
        </w:tc>
        <w:tc>
          <w:tcPr>
            <w:tcW w:w="767" w:type="dxa"/>
          </w:tcPr>
          <w:p w14:paraId="236C6A5F">
            <w:pPr>
              <w:spacing w:line="380" w:lineRule="exact"/>
              <w:jc w:val="center"/>
              <w:rPr>
                <w:rFonts w:hint="eastAsia" w:ascii="宋体" w:hAnsi="宋体" w:eastAsia="宋体" w:cs="宋体"/>
                <w:color w:val="auto"/>
                <w:sz w:val="24"/>
                <w:highlight w:val="none"/>
              </w:rPr>
            </w:pPr>
          </w:p>
        </w:tc>
        <w:tc>
          <w:tcPr>
            <w:tcW w:w="1017" w:type="dxa"/>
          </w:tcPr>
          <w:p w14:paraId="33F25938">
            <w:pPr>
              <w:spacing w:line="380" w:lineRule="exact"/>
              <w:jc w:val="center"/>
              <w:rPr>
                <w:rFonts w:hint="eastAsia" w:ascii="宋体" w:hAnsi="宋体" w:eastAsia="宋体" w:cs="宋体"/>
                <w:color w:val="auto"/>
                <w:sz w:val="24"/>
                <w:highlight w:val="none"/>
              </w:rPr>
            </w:pPr>
          </w:p>
        </w:tc>
      </w:tr>
      <w:tr w14:paraId="67D1C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02" w:type="dxa"/>
            <w:vAlign w:val="center"/>
          </w:tcPr>
          <w:p w14:paraId="5C0A4275">
            <w:pPr>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1233" w:type="dxa"/>
            <w:vAlign w:val="center"/>
          </w:tcPr>
          <w:p w14:paraId="13FFF006">
            <w:pPr>
              <w:spacing w:line="380" w:lineRule="exact"/>
              <w:jc w:val="center"/>
              <w:rPr>
                <w:rFonts w:hint="eastAsia" w:ascii="宋体" w:hAnsi="宋体" w:eastAsia="宋体" w:cs="宋体"/>
                <w:color w:val="auto"/>
                <w:sz w:val="24"/>
                <w:highlight w:val="none"/>
              </w:rPr>
            </w:pPr>
          </w:p>
        </w:tc>
        <w:tc>
          <w:tcPr>
            <w:tcW w:w="1049" w:type="dxa"/>
            <w:vAlign w:val="center"/>
          </w:tcPr>
          <w:p w14:paraId="3D1FC8D4">
            <w:pPr>
              <w:spacing w:line="380" w:lineRule="exact"/>
              <w:jc w:val="center"/>
              <w:rPr>
                <w:rFonts w:hint="eastAsia" w:ascii="宋体" w:hAnsi="宋体" w:eastAsia="宋体" w:cs="宋体"/>
                <w:color w:val="auto"/>
                <w:sz w:val="24"/>
                <w:highlight w:val="none"/>
              </w:rPr>
            </w:pPr>
          </w:p>
        </w:tc>
        <w:tc>
          <w:tcPr>
            <w:tcW w:w="750" w:type="dxa"/>
            <w:vAlign w:val="center"/>
          </w:tcPr>
          <w:p w14:paraId="10FABBC2">
            <w:pPr>
              <w:spacing w:line="380" w:lineRule="exact"/>
              <w:jc w:val="center"/>
              <w:rPr>
                <w:rFonts w:hint="eastAsia" w:ascii="宋体" w:hAnsi="宋体" w:eastAsia="宋体" w:cs="宋体"/>
                <w:color w:val="auto"/>
                <w:sz w:val="24"/>
                <w:highlight w:val="none"/>
              </w:rPr>
            </w:pPr>
          </w:p>
        </w:tc>
        <w:tc>
          <w:tcPr>
            <w:tcW w:w="854" w:type="dxa"/>
            <w:vAlign w:val="center"/>
          </w:tcPr>
          <w:p w14:paraId="1CE823A8">
            <w:pPr>
              <w:spacing w:line="380" w:lineRule="exact"/>
              <w:jc w:val="center"/>
              <w:rPr>
                <w:rFonts w:hint="eastAsia" w:ascii="宋体" w:hAnsi="宋体" w:eastAsia="宋体" w:cs="宋体"/>
                <w:color w:val="auto"/>
                <w:sz w:val="24"/>
                <w:highlight w:val="none"/>
              </w:rPr>
            </w:pPr>
          </w:p>
        </w:tc>
        <w:tc>
          <w:tcPr>
            <w:tcW w:w="956" w:type="dxa"/>
            <w:vAlign w:val="center"/>
          </w:tcPr>
          <w:p w14:paraId="1DCE3CB8">
            <w:pPr>
              <w:spacing w:line="380" w:lineRule="exact"/>
              <w:jc w:val="center"/>
              <w:rPr>
                <w:rFonts w:hint="eastAsia" w:ascii="宋体" w:hAnsi="宋体" w:eastAsia="宋体" w:cs="宋体"/>
                <w:color w:val="auto"/>
                <w:sz w:val="24"/>
                <w:highlight w:val="none"/>
              </w:rPr>
            </w:pPr>
          </w:p>
        </w:tc>
        <w:tc>
          <w:tcPr>
            <w:tcW w:w="1091" w:type="dxa"/>
            <w:vAlign w:val="center"/>
          </w:tcPr>
          <w:p w14:paraId="2BA865E9">
            <w:pPr>
              <w:spacing w:line="380" w:lineRule="exact"/>
              <w:jc w:val="center"/>
              <w:rPr>
                <w:rFonts w:hint="eastAsia" w:ascii="宋体" w:hAnsi="宋体" w:eastAsia="宋体" w:cs="宋体"/>
                <w:color w:val="auto"/>
                <w:sz w:val="24"/>
                <w:highlight w:val="none"/>
              </w:rPr>
            </w:pPr>
          </w:p>
        </w:tc>
        <w:tc>
          <w:tcPr>
            <w:tcW w:w="767" w:type="dxa"/>
          </w:tcPr>
          <w:p w14:paraId="02F0EA76">
            <w:pPr>
              <w:spacing w:line="380" w:lineRule="exact"/>
              <w:jc w:val="center"/>
              <w:rPr>
                <w:rFonts w:hint="eastAsia" w:ascii="宋体" w:hAnsi="宋体" w:eastAsia="宋体" w:cs="宋体"/>
                <w:color w:val="auto"/>
                <w:sz w:val="24"/>
                <w:highlight w:val="none"/>
              </w:rPr>
            </w:pPr>
          </w:p>
        </w:tc>
        <w:tc>
          <w:tcPr>
            <w:tcW w:w="1017" w:type="dxa"/>
          </w:tcPr>
          <w:p w14:paraId="47312089">
            <w:pPr>
              <w:spacing w:line="380" w:lineRule="exact"/>
              <w:jc w:val="center"/>
              <w:rPr>
                <w:rFonts w:hint="eastAsia" w:ascii="宋体" w:hAnsi="宋体" w:eastAsia="宋体" w:cs="宋体"/>
                <w:color w:val="auto"/>
                <w:sz w:val="24"/>
                <w:highlight w:val="none"/>
              </w:rPr>
            </w:pPr>
          </w:p>
        </w:tc>
      </w:tr>
      <w:tr w14:paraId="526A6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02" w:type="dxa"/>
            <w:vAlign w:val="center"/>
          </w:tcPr>
          <w:p w14:paraId="43FB30FB">
            <w:pPr>
              <w:spacing w:line="380" w:lineRule="exact"/>
              <w:jc w:val="center"/>
              <w:rPr>
                <w:rFonts w:hint="eastAsia" w:ascii="宋体" w:hAnsi="宋体" w:eastAsia="宋体" w:cs="宋体"/>
                <w:color w:val="auto"/>
                <w:sz w:val="24"/>
                <w:highlight w:val="none"/>
              </w:rPr>
            </w:pPr>
          </w:p>
        </w:tc>
        <w:tc>
          <w:tcPr>
            <w:tcW w:w="1233" w:type="dxa"/>
            <w:vAlign w:val="center"/>
          </w:tcPr>
          <w:p w14:paraId="49A341D8">
            <w:pPr>
              <w:spacing w:line="380" w:lineRule="exact"/>
              <w:jc w:val="center"/>
              <w:rPr>
                <w:rFonts w:hint="eastAsia" w:ascii="宋体" w:hAnsi="宋体" w:eastAsia="宋体" w:cs="宋体"/>
                <w:color w:val="auto"/>
                <w:sz w:val="24"/>
                <w:highlight w:val="none"/>
              </w:rPr>
            </w:pPr>
          </w:p>
        </w:tc>
        <w:tc>
          <w:tcPr>
            <w:tcW w:w="1049" w:type="dxa"/>
            <w:vAlign w:val="center"/>
          </w:tcPr>
          <w:p w14:paraId="331EFD46">
            <w:pPr>
              <w:spacing w:line="380" w:lineRule="exact"/>
              <w:jc w:val="center"/>
              <w:rPr>
                <w:rFonts w:hint="eastAsia" w:ascii="宋体" w:hAnsi="宋体" w:eastAsia="宋体" w:cs="宋体"/>
                <w:color w:val="auto"/>
                <w:sz w:val="24"/>
                <w:highlight w:val="none"/>
              </w:rPr>
            </w:pPr>
          </w:p>
        </w:tc>
        <w:tc>
          <w:tcPr>
            <w:tcW w:w="750" w:type="dxa"/>
            <w:vAlign w:val="center"/>
          </w:tcPr>
          <w:p w14:paraId="53227AD4">
            <w:pPr>
              <w:spacing w:line="380" w:lineRule="exact"/>
              <w:jc w:val="center"/>
              <w:rPr>
                <w:rFonts w:hint="eastAsia" w:ascii="宋体" w:hAnsi="宋体" w:eastAsia="宋体" w:cs="宋体"/>
                <w:color w:val="auto"/>
                <w:sz w:val="24"/>
                <w:highlight w:val="none"/>
              </w:rPr>
            </w:pPr>
          </w:p>
        </w:tc>
        <w:tc>
          <w:tcPr>
            <w:tcW w:w="854" w:type="dxa"/>
            <w:vAlign w:val="center"/>
          </w:tcPr>
          <w:p w14:paraId="50BDD003">
            <w:pPr>
              <w:spacing w:line="380" w:lineRule="exact"/>
              <w:jc w:val="center"/>
              <w:rPr>
                <w:rFonts w:hint="eastAsia" w:ascii="宋体" w:hAnsi="宋体" w:eastAsia="宋体" w:cs="宋体"/>
                <w:color w:val="auto"/>
                <w:sz w:val="24"/>
                <w:highlight w:val="none"/>
              </w:rPr>
            </w:pPr>
          </w:p>
        </w:tc>
        <w:tc>
          <w:tcPr>
            <w:tcW w:w="956" w:type="dxa"/>
            <w:vAlign w:val="center"/>
          </w:tcPr>
          <w:p w14:paraId="781734DB">
            <w:pPr>
              <w:spacing w:line="380" w:lineRule="exact"/>
              <w:jc w:val="center"/>
              <w:rPr>
                <w:rFonts w:hint="eastAsia" w:ascii="宋体" w:hAnsi="宋体" w:eastAsia="宋体" w:cs="宋体"/>
                <w:color w:val="auto"/>
                <w:sz w:val="24"/>
                <w:highlight w:val="none"/>
              </w:rPr>
            </w:pPr>
          </w:p>
        </w:tc>
        <w:tc>
          <w:tcPr>
            <w:tcW w:w="1091" w:type="dxa"/>
            <w:vAlign w:val="center"/>
          </w:tcPr>
          <w:p w14:paraId="003EFD91">
            <w:pPr>
              <w:spacing w:line="380" w:lineRule="exact"/>
              <w:jc w:val="center"/>
              <w:rPr>
                <w:rFonts w:hint="eastAsia" w:ascii="宋体" w:hAnsi="宋体" w:eastAsia="宋体" w:cs="宋体"/>
                <w:color w:val="auto"/>
                <w:sz w:val="24"/>
                <w:highlight w:val="none"/>
              </w:rPr>
            </w:pPr>
          </w:p>
        </w:tc>
        <w:tc>
          <w:tcPr>
            <w:tcW w:w="767" w:type="dxa"/>
          </w:tcPr>
          <w:p w14:paraId="1AC7AA7E">
            <w:pPr>
              <w:spacing w:line="380" w:lineRule="exact"/>
              <w:jc w:val="center"/>
              <w:rPr>
                <w:rFonts w:hint="eastAsia" w:ascii="宋体" w:hAnsi="宋体" w:eastAsia="宋体" w:cs="宋体"/>
                <w:color w:val="auto"/>
                <w:sz w:val="24"/>
                <w:highlight w:val="none"/>
              </w:rPr>
            </w:pPr>
          </w:p>
        </w:tc>
        <w:tc>
          <w:tcPr>
            <w:tcW w:w="1017" w:type="dxa"/>
          </w:tcPr>
          <w:p w14:paraId="7A0E1E15">
            <w:pPr>
              <w:spacing w:line="380" w:lineRule="exact"/>
              <w:jc w:val="center"/>
              <w:rPr>
                <w:rFonts w:hint="eastAsia" w:ascii="宋体" w:hAnsi="宋体" w:eastAsia="宋体" w:cs="宋体"/>
                <w:color w:val="auto"/>
                <w:sz w:val="24"/>
                <w:highlight w:val="none"/>
              </w:rPr>
            </w:pPr>
          </w:p>
        </w:tc>
      </w:tr>
      <w:tr w14:paraId="622EF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02" w:type="dxa"/>
            <w:vAlign w:val="center"/>
          </w:tcPr>
          <w:p w14:paraId="0886DC81">
            <w:pPr>
              <w:spacing w:line="380" w:lineRule="exact"/>
              <w:jc w:val="center"/>
              <w:rPr>
                <w:rFonts w:hint="eastAsia" w:ascii="宋体" w:hAnsi="宋体" w:eastAsia="宋体" w:cs="宋体"/>
                <w:color w:val="auto"/>
                <w:sz w:val="24"/>
                <w:highlight w:val="none"/>
              </w:rPr>
            </w:pPr>
          </w:p>
        </w:tc>
        <w:tc>
          <w:tcPr>
            <w:tcW w:w="1233" w:type="dxa"/>
            <w:vAlign w:val="center"/>
          </w:tcPr>
          <w:p w14:paraId="620B5F8E">
            <w:pPr>
              <w:spacing w:line="380" w:lineRule="exact"/>
              <w:jc w:val="center"/>
              <w:rPr>
                <w:rFonts w:hint="eastAsia" w:ascii="宋体" w:hAnsi="宋体" w:eastAsia="宋体" w:cs="宋体"/>
                <w:color w:val="auto"/>
                <w:sz w:val="24"/>
                <w:highlight w:val="none"/>
              </w:rPr>
            </w:pPr>
          </w:p>
        </w:tc>
        <w:tc>
          <w:tcPr>
            <w:tcW w:w="1049" w:type="dxa"/>
            <w:vAlign w:val="center"/>
          </w:tcPr>
          <w:p w14:paraId="0AD232B0">
            <w:pPr>
              <w:spacing w:line="380" w:lineRule="exact"/>
              <w:jc w:val="center"/>
              <w:rPr>
                <w:rFonts w:hint="eastAsia" w:ascii="宋体" w:hAnsi="宋体" w:eastAsia="宋体" w:cs="宋体"/>
                <w:color w:val="auto"/>
                <w:sz w:val="24"/>
                <w:highlight w:val="none"/>
              </w:rPr>
            </w:pPr>
          </w:p>
        </w:tc>
        <w:tc>
          <w:tcPr>
            <w:tcW w:w="750" w:type="dxa"/>
            <w:vAlign w:val="center"/>
          </w:tcPr>
          <w:p w14:paraId="3BA53EB9">
            <w:pPr>
              <w:spacing w:line="380" w:lineRule="exact"/>
              <w:jc w:val="center"/>
              <w:rPr>
                <w:rFonts w:hint="eastAsia" w:ascii="宋体" w:hAnsi="宋体" w:eastAsia="宋体" w:cs="宋体"/>
                <w:color w:val="auto"/>
                <w:sz w:val="24"/>
                <w:highlight w:val="none"/>
              </w:rPr>
            </w:pPr>
          </w:p>
        </w:tc>
        <w:tc>
          <w:tcPr>
            <w:tcW w:w="854" w:type="dxa"/>
            <w:vAlign w:val="center"/>
          </w:tcPr>
          <w:p w14:paraId="7A349797">
            <w:pPr>
              <w:spacing w:line="380" w:lineRule="exact"/>
              <w:jc w:val="center"/>
              <w:rPr>
                <w:rFonts w:hint="eastAsia" w:ascii="宋体" w:hAnsi="宋体" w:eastAsia="宋体" w:cs="宋体"/>
                <w:color w:val="auto"/>
                <w:sz w:val="24"/>
                <w:highlight w:val="none"/>
              </w:rPr>
            </w:pPr>
          </w:p>
        </w:tc>
        <w:tc>
          <w:tcPr>
            <w:tcW w:w="956" w:type="dxa"/>
            <w:vAlign w:val="center"/>
          </w:tcPr>
          <w:p w14:paraId="1DC71A1E">
            <w:pPr>
              <w:spacing w:line="380" w:lineRule="exact"/>
              <w:jc w:val="center"/>
              <w:rPr>
                <w:rFonts w:hint="eastAsia" w:ascii="宋体" w:hAnsi="宋体" w:eastAsia="宋体" w:cs="宋体"/>
                <w:color w:val="auto"/>
                <w:sz w:val="24"/>
                <w:highlight w:val="none"/>
              </w:rPr>
            </w:pPr>
          </w:p>
        </w:tc>
        <w:tc>
          <w:tcPr>
            <w:tcW w:w="1091" w:type="dxa"/>
            <w:vAlign w:val="center"/>
          </w:tcPr>
          <w:p w14:paraId="69104502">
            <w:pPr>
              <w:spacing w:line="380" w:lineRule="exact"/>
              <w:jc w:val="center"/>
              <w:rPr>
                <w:rFonts w:hint="eastAsia" w:ascii="宋体" w:hAnsi="宋体" w:eastAsia="宋体" w:cs="宋体"/>
                <w:color w:val="auto"/>
                <w:sz w:val="24"/>
                <w:highlight w:val="none"/>
              </w:rPr>
            </w:pPr>
          </w:p>
        </w:tc>
        <w:tc>
          <w:tcPr>
            <w:tcW w:w="767" w:type="dxa"/>
          </w:tcPr>
          <w:p w14:paraId="4F8310D7">
            <w:pPr>
              <w:spacing w:line="380" w:lineRule="exact"/>
              <w:jc w:val="center"/>
              <w:rPr>
                <w:rFonts w:hint="eastAsia" w:ascii="宋体" w:hAnsi="宋体" w:eastAsia="宋体" w:cs="宋体"/>
                <w:color w:val="auto"/>
                <w:sz w:val="24"/>
                <w:highlight w:val="none"/>
              </w:rPr>
            </w:pPr>
          </w:p>
        </w:tc>
        <w:tc>
          <w:tcPr>
            <w:tcW w:w="1017" w:type="dxa"/>
          </w:tcPr>
          <w:p w14:paraId="3E96B04B">
            <w:pPr>
              <w:spacing w:line="380" w:lineRule="exact"/>
              <w:jc w:val="center"/>
              <w:rPr>
                <w:rFonts w:hint="eastAsia" w:ascii="宋体" w:hAnsi="宋体" w:eastAsia="宋体" w:cs="宋体"/>
                <w:color w:val="auto"/>
                <w:sz w:val="24"/>
                <w:highlight w:val="none"/>
              </w:rPr>
            </w:pPr>
          </w:p>
        </w:tc>
      </w:tr>
      <w:tr w14:paraId="2903A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702" w:type="dxa"/>
            <w:vAlign w:val="center"/>
          </w:tcPr>
          <w:p w14:paraId="12B78D94">
            <w:pPr>
              <w:spacing w:line="380" w:lineRule="exact"/>
              <w:jc w:val="center"/>
              <w:rPr>
                <w:rFonts w:hint="eastAsia" w:ascii="宋体" w:hAnsi="宋体" w:eastAsia="宋体" w:cs="宋体"/>
                <w:color w:val="auto"/>
                <w:sz w:val="24"/>
                <w:highlight w:val="none"/>
              </w:rPr>
            </w:pPr>
          </w:p>
        </w:tc>
        <w:tc>
          <w:tcPr>
            <w:tcW w:w="1233" w:type="dxa"/>
            <w:vAlign w:val="center"/>
          </w:tcPr>
          <w:p w14:paraId="0DF22236">
            <w:pPr>
              <w:spacing w:line="380" w:lineRule="exact"/>
              <w:jc w:val="center"/>
              <w:rPr>
                <w:rFonts w:hint="eastAsia" w:ascii="宋体" w:hAnsi="宋体" w:eastAsia="宋体" w:cs="宋体"/>
                <w:color w:val="auto"/>
                <w:sz w:val="24"/>
                <w:highlight w:val="none"/>
              </w:rPr>
            </w:pPr>
          </w:p>
        </w:tc>
        <w:tc>
          <w:tcPr>
            <w:tcW w:w="1049" w:type="dxa"/>
            <w:vAlign w:val="center"/>
          </w:tcPr>
          <w:p w14:paraId="1578B292">
            <w:pPr>
              <w:spacing w:line="380" w:lineRule="exact"/>
              <w:jc w:val="center"/>
              <w:rPr>
                <w:rFonts w:hint="eastAsia" w:ascii="宋体" w:hAnsi="宋体" w:eastAsia="宋体" w:cs="宋体"/>
                <w:color w:val="auto"/>
                <w:sz w:val="24"/>
                <w:highlight w:val="none"/>
              </w:rPr>
            </w:pPr>
          </w:p>
        </w:tc>
        <w:tc>
          <w:tcPr>
            <w:tcW w:w="750" w:type="dxa"/>
            <w:vAlign w:val="center"/>
          </w:tcPr>
          <w:p w14:paraId="506965A7">
            <w:pPr>
              <w:spacing w:line="380" w:lineRule="exact"/>
              <w:jc w:val="center"/>
              <w:rPr>
                <w:rFonts w:hint="eastAsia" w:ascii="宋体" w:hAnsi="宋体" w:eastAsia="宋体" w:cs="宋体"/>
                <w:color w:val="auto"/>
                <w:sz w:val="24"/>
                <w:highlight w:val="none"/>
              </w:rPr>
            </w:pPr>
          </w:p>
        </w:tc>
        <w:tc>
          <w:tcPr>
            <w:tcW w:w="854" w:type="dxa"/>
            <w:vAlign w:val="center"/>
          </w:tcPr>
          <w:p w14:paraId="1079C31F">
            <w:pPr>
              <w:spacing w:line="380" w:lineRule="exact"/>
              <w:jc w:val="center"/>
              <w:rPr>
                <w:rFonts w:hint="eastAsia" w:ascii="宋体" w:hAnsi="宋体" w:eastAsia="宋体" w:cs="宋体"/>
                <w:color w:val="auto"/>
                <w:sz w:val="24"/>
                <w:highlight w:val="none"/>
              </w:rPr>
            </w:pPr>
          </w:p>
        </w:tc>
        <w:tc>
          <w:tcPr>
            <w:tcW w:w="956" w:type="dxa"/>
            <w:vAlign w:val="center"/>
          </w:tcPr>
          <w:p w14:paraId="1BA3640D">
            <w:pPr>
              <w:spacing w:line="380" w:lineRule="exact"/>
              <w:jc w:val="center"/>
              <w:rPr>
                <w:rFonts w:hint="eastAsia" w:ascii="宋体" w:hAnsi="宋体" w:eastAsia="宋体" w:cs="宋体"/>
                <w:color w:val="auto"/>
                <w:sz w:val="24"/>
                <w:highlight w:val="none"/>
              </w:rPr>
            </w:pPr>
          </w:p>
        </w:tc>
        <w:tc>
          <w:tcPr>
            <w:tcW w:w="1091" w:type="dxa"/>
            <w:vAlign w:val="center"/>
          </w:tcPr>
          <w:p w14:paraId="02970788">
            <w:pPr>
              <w:spacing w:line="380" w:lineRule="exact"/>
              <w:jc w:val="center"/>
              <w:rPr>
                <w:rFonts w:hint="eastAsia" w:ascii="宋体" w:hAnsi="宋体" w:eastAsia="宋体" w:cs="宋体"/>
                <w:color w:val="auto"/>
                <w:sz w:val="24"/>
                <w:highlight w:val="none"/>
              </w:rPr>
            </w:pPr>
          </w:p>
        </w:tc>
        <w:tc>
          <w:tcPr>
            <w:tcW w:w="767" w:type="dxa"/>
          </w:tcPr>
          <w:p w14:paraId="0E8954B0">
            <w:pPr>
              <w:spacing w:line="380" w:lineRule="exact"/>
              <w:jc w:val="center"/>
              <w:rPr>
                <w:rFonts w:hint="eastAsia" w:ascii="宋体" w:hAnsi="宋体" w:eastAsia="宋体" w:cs="宋体"/>
                <w:color w:val="auto"/>
                <w:sz w:val="24"/>
                <w:highlight w:val="none"/>
              </w:rPr>
            </w:pPr>
          </w:p>
        </w:tc>
        <w:tc>
          <w:tcPr>
            <w:tcW w:w="1017" w:type="dxa"/>
          </w:tcPr>
          <w:p w14:paraId="45312A0E">
            <w:pPr>
              <w:spacing w:line="380" w:lineRule="exact"/>
              <w:jc w:val="center"/>
              <w:rPr>
                <w:rFonts w:hint="eastAsia" w:ascii="宋体" w:hAnsi="宋体" w:eastAsia="宋体" w:cs="宋体"/>
                <w:color w:val="auto"/>
                <w:sz w:val="24"/>
                <w:highlight w:val="none"/>
              </w:rPr>
            </w:pPr>
          </w:p>
        </w:tc>
      </w:tr>
    </w:tbl>
    <w:p w14:paraId="0F276A73">
      <w:pPr>
        <w:pStyle w:val="343"/>
        <w:rPr>
          <w:rFonts w:hint="eastAsia" w:ascii="宋体" w:hAnsi="宋体" w:eastAsia="宋体" w:cs="宋体"/>
          <w:color w:val="auto"/>
          <w:highlight w:val="none"/>
        </w:rPr>
      </w:pPr>
      <w:r>
        <w:rPr>
          <w:rFonts w:hint="eastAsia" w:ascii="宋体" w:hAnsi="宋体" w:eastAsia="宋体" w:cs="宋体"/>
          <w:color w:val="auto"/>
          <w:szCs w:val="24"/>
          <w:highlight w:val="none"/>
        </w:rPr>
        <w:t>注：后附相关证明材料详见采购文件要求。</w:t>
      </w:r>
    </w:p>
    <w:p w14:paraId="210C39B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投标单位：（单位盖章）</w:t>
      </w:r>
    </w:p>
    <w:p w14:paraId="53C9DE3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法定代表人或代理人：（签字或盖章）</w:t>
      </w:r>
    </w:p>
    <w:p w14:paraId="594A700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02F39DC6">
      <w:pPr>
        <w:spacing w:line="360" w:lineRule="auto"/>
        <w:rPr>
          <w:rFonts w:hint="eastAsia" w:ascii="宋体" w:hAnsi="宋体" w:eastAsia="宋体" w:cs="宋体"/>
          <w:color w:val="auto"/>
          <w:sz w:val="28"/>
          <w:szCs w:val="28"/>
          <w:highlight w:val="none"/>
        </w:rPr>
      </w:pPr>
    </w:p>
    <w:p w14:paraId="3A105D0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br w:type="page" w:clear="all"/>
      </w:r>
    </w:p>
    <w:p w14:paraId="167E22D2">
      <w:pPr>
        <w:tabs>
          <w:tab w:val="left" w:pos="645"/>
        </w:tabs>
        <w:spacing w:line="360" w:lineRule="auto"/>
        <w:jc w:val="center"/>
        <w:rPr>
          <w:rFonts w:hint="eastAsia" w:ascii="宋体" w:hAnsi="宋体" w:eastAsia="宋体" w:cs="宋体"/>
          <w:b/>
          <w:bCs/>
          <w:color w:val="auto"/>
          <w:sz w:val="24"/>
          <w:szCs w:val="24"/>
          <w:highlight w:val="none"/>
        </w:rPr>
      </w:pPr>
    </w:p>
    <w:p w14:paraId="0019D692">
      <w:pPr>
        <w:tabs>
          <w:tab w:val="left" w:pos="645"/>
        </w:tabs>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拟投入</w:t>
      </w:r>
      <w:r>
        <w:rPr>
          <w:rFonts w:hint="eastAsia" w:ascii="宋体" w:hAnsi="宋体" w:eastAsia="宋体" w:cs="宋体"/>
          <w:b/>
          <w:bCs/>
          <w:color w:val="auto"/>
          <w:sz w:val="28"/>
          <w:szCs w:val="28"/>
          <w:highlight w:val="none"/>
        </w:rPr>
        <w:t>本项目</w:t>
      </w:r>
      <w:r>
        <w:rPr>
          <w:rFonts w:hint="eastAsia" w:ascii="宋体" w:hAnsi="宋体" w:eastAsia="宋体" w:cs="宋体"/>
          <w:b/>
          <w:bCs/>
          <w:color w:val="auto"/>
          <w:sz w:val="28"/>
          <w:szCs w:val="28"/>
          <w:highlight w:val="none"/>
          <w:lang w:val="en-US" w:eastAsia="zh-CN"/>
        </w:rPr>
        <w:t>的</w:t>
      </w:r>
      <w:r>
        <w:rPr>
          <w:rFonts w:hint="eastAsia" w:ascii="宋体" w:hAnsi="宋体" w:eastAsia="宋体" w:cs="宋体"/>
          <w:b/>
          <w:bCs/>
          <w:color w:val="auto"/>
          <w:sz w:val="28"/>
          <w:szCs w:val="28"/>
          <w:highlight w:val="none"/>
        </w:rPr>
        <w:t>设备情况表（自有或已租赁）</w:t>
      </w:r>
    </w:p>
    <w:tbl>
      <w:tblPr>
        <w:tblStyle w:val="38"/>
        <w:tblW w:w="7559" w:type="dxa"/>
        <w:jc w:val="center"/>
        <w:tblLayout w:type="fixed"/>
        <w:tblCellMar>
          <w:top w:w="0" w:type="dxa"/>
          <w:left w:w="108" w:type="dxa"/>
          <w:bottom w:w="0" w:type="dxa"/>
          <w:right w:w="108" w:type="dxa"/>
        </w:tblCellMar>
      </w:tblPr>
      <w:tblGrid>
        <w:gridCol w:w="887"/>
        <w:gridCol w:w="2093"/>
        <w:gridCol w:w="912"/>
        <w:gridCol w:w="1215"/>
        <w:gridCol w:w="1533"/>
        <w:gridCol w:w="919"/>
      </w:tblGrid>
      <w:tr w14:paraId="4EF92682">
        <w:tblPrEx>
          <w:tblCellMar>
            <w:top w:w="0" w:type="dxa"/>
            <w:left w:w="108" w:type="dxa"/>
            <w:bottom w:w="0" w:type="dxa"/>
            <w:right w:w="108" w:type="dxa"/>
          </w:tblCellMar>
        </w:tblPrEx>
        <w:trPr>
          <w:trHeight w:val="540" w:hRule="atLeast"/>
          <w:tblHeader/>
          <w:jc w:val="center"/>
        </w:trPr>
        <w:tc>
          <w:tcPr>
            <w:tcW w:w="887" w:type="dxa"/>
            <w:tcBorders>
              <w:top w:val="single" w:color="000000" w:sz="4" w:space="0"/>
              <w:left w:val="single" w:color="000000" w:sz="4" w:space="0"/>
              <w:bottom w:val="single" w:color="000000" w:sz="4" w:space="0"/>
              <w:right w:val="single" w:color="000000" w:sz="4" w:space="0"/>
            </w:tcBorders>
            <w:vAlign w:val="center"/>
          </w:tcPr>
          <w:p w14:paraId="58878D8B">
            <w:pPr>
              <w:pStyle w:val="225"/>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093" w:type="dxa"/>
            <w:tcBorders>
              <w:top w:val="single" w:color="000000" w:sz="4" w:space="0"/>
              <w:left w:val="nil"/>
              <w:bottom w:val="single" w:color="000000" w:sz="4" w:space="0"/>
              <w:right w:val="single" w:color="000000" w:sz="4" w:space="0"/>
            </w:tcBorders>
            <w:vAlign w:val="center"/>
          </w:tcPr>
          <w:p w14:paraId="767FDE0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w:t>
            </w:r>
          </w:p>
        </w:tc>
        <w:tc>
          <w:tcPr>
            <w:tcW w:w="912" w:type="dxa"/>
            <w:tcBorders>
              <w:top w:val="single" w:color="000000" w:sz="4" w:space="0"/>
              <w:left w:val="nil"/>
              <w:bottom w:val="single" w:color="000000" w:sz="4" w:space="0"/>
              <w:right w:val="single" w:color="000000" w:sz="4" w:space="0"/>
            </w:tcBorders>
            <w:vAlign w:val="center"/>
          </w:tcPr>
          <w:p w14:paraId="5C63F41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自有数量</w:t>
            </w:r>
          </w:p>
        </w:tc>
        <w:tc>
          <w:tcPr>
            <w:tcW w:w="1215" w:type="dxa"/>
            <w:tcBorders>
              <w:top w:val="single" w:color="000000" w:sz="4" w:space="0"/>
              <w:left w:val="nil"/>
              <w:bottom w:val="single" w:color="000000" w:sz="4" w:space="0"/>
              <w:right w:val="single" w:color="000000" w:sz="4" w:space="0"/>
            </w:tcBorders>
            <w:vAlign w:val="center"/>
          </w:tcPr>
          <w:p w14:paraId="00A5402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已</w:t>
            </w:r>
            <w:r>
              <w:rPr>
                <w:rFonts w:hint="eastAsia" w:ascii="宋体" w:hAnsi="宋体" w:eastAsia="宋体" w:cs="宋体"/>
                <w:color w:val="auto"/>
                <w:sz w:val="24"/>
                <w:szCs w:val="24"/>
                <w:highlight w:val="none"/>
                <w:lang w:val="en-US" w:eastAsia="zh-CN"/>
              </w:rPr>
              <w:t>/承诺</w:t>
            </w:r>
            <w:r>
              <w:rPr>
                <w:rFonts w:hint="eastAsia" w:ascii="宋体" w:hAnsi="宋体" w:eastAsia="宋体" w:cs="宋体"/>
                <w:color w:val="auto"/>
                <w:sz w:val="24"/>
                <w:szCs w:val="24"/>
                <w:highlight w:val="none"/>
              </w:rPr>
              <w:t>租赁数量</w:t>
            </w:r>
          </w:p>
        </w:tc>
        <w:tc>
          <w:tcPr>
            <w:tcW w:w="1533" w:type="dxa"/>
            <w:tcBorders>
              <w:top w:val="single" w:color="000000" w:sz="4" w:space="0"/>
              <w:left w:val="nil"/>
              <w:bottom w:val="single" w:color="000000" w:sz="4" w:space="0"/>
              <w:right w:val="single" w:color="000000" w:sz="4" w:space="0"/>
            </w:tcBorders>
            <w:vAlign w:val="center"/>
          </w:tcPr>
          <w:p w14:paraId="4DF601A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品牌、型号</w:t>
            </w:r>
          </w:p>
        </w:tc>
        <w:tc>
          <w:tcPr>
            <w:tcW w:w="919" w:type="dxa"/>
            <w:tcBorders>
              <w:top w:val="single" w:color="000000" w:sz="4" w:space="0"/>
              <w:left w:val="nil"/>
              <w:bottom w:val="single" w:color="000000" w:sz="4" w:space="0"/>
              <w:right w:val="single" w:color="000000" w:sz="4" w:space="0"/>
            </w:tcBorders>
            <w:vAlign w:val="center"/>
          </w:tcPr>
          <w:p w14:paraId="1135797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2F9C6A2B">
        <w:tblPrEx>
          <w:tblCellMar>
            <w:top w:w="0" w:type="dxa"/>
            <w:left w:w="108" w:type="dxa"/>
            <w:bottom w:w="0" w:type="dxa"/>
            <w:right w:w="108" w:type="dxa"/>
          </w:tblCellMar>
        </w:tblPrEx>
        <w:trPr>
          <w:trHeight w:val="540" w:hRule="atLeast"/>
          <w:tblHeader/>
          <w:jc w:val="center"/>
        </w:trPr>
        <w:tc>
          <w:tcPr>
            <w:tcW w:w="887" w:type="dxa"/>
            <w:tcBorders>
              <w:top w:val="single" w:color="000000" w:sz="4" w:space="0"/>
              <w:left w:val="single" w:color="000000" w:sz="4" w:space="0"/>
              <w:bottom w:val="single" w:color="000000" w:sz="4" w:space="0"/>
              <w:right w:val="single" w:color="000000" w:sz="4" w:space="0"/>
            </w:tcBorders>
            <w:vAlign w:val="center"/>
          </w:tcPr>
          <w:p w14:paraId="4DEAFE50">
            <w:pPr>
              <w:pStyle w:val="225"/>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93" w:type="dxa"/>
            <w:tcBorders>
              <w:top w:val="single" w:color="000000" w:sz="4" w:space="0"/>
              <w:left w:val="nil"/>
              <w:bottom w:val="single" w:color="000000" w:sz="4" w:space="0"/>
              <w:right w:val="single" w:color="000000" w:sz="4" w:space="0"/>
            </w:tcBorders>
            <w:vAlign w:val="center"/>
          </w:tcPr>
          <w:p w14:paraId="3FB9C23B">
            <w:pPr>
              <w:jc w:val="center"/>
              <w:rPr>
                <w:rFonts w:hint="eastAsia" w:ascii="宋体" w:hAnsi="宋体" w:eastAsia="宋体" w:cs="宋体"/>
                <w:color w:val="auto"/>
                <w:sz w:val="24"/>
                <w:szCs w:val="24"/>
                <w:highlight w:val="none"/>
              </w:rPr>
            </w:pPr>
          </w:p>
        </w:tc>
        <w:tc>
          <w:tcPr>
            <w:tcW w:w="912" w:type="dxa"/>
            <w:tcBorders>
              <w:top w:val="single" w:color="000000" w:sz="4" w:space="0"/>
              <w:left w:val="nil"/>
              <w:bottom w:val="single" w:color="000000" w:sz="4" w:space="0"/>
              <w:right w:val="single" w:color="000000" w:sz="4" w:space="0"/>
            </w:tcBorders>
            <w:vAlign w:val="center"/>
          </w:tcPr>
          <w:p w14:paraId="2A5A09CF">
            <w:pPr>
              <w:jc w:val="center"/>
              <w:rPr>
                <w:rFonts w:hint="eastAsia" w:ascii="宋体" w:hAnsi="宋体" w:eastAsia="宋体" w:cs="宋体"/>
                <w:color w:val="auto"/>
                <w:sz w:val="24"/>
                <w:szCs w:val="24"/>
                <w:highlight w:val="none"/>
              </w:rPr>
            </w:pPr>
          </w:p>
        </w:tc>
        <w:tc>
          <w:tcPr>
            <w:tcW w:w="1215" w:type="dxa"/>
            <w:tcBorders>
              <w:top w:val="single" w:color="000000" w:sz="4" w:space="0"/>
              <w:left w:val="nil"/>
              <w:bottom w:val="single" w:color="000000" w:sz="4" w:space="0"/>
              <w:right w:val="single" w:color="000000" w:sz="4" w:space="0"/>
            </w:tcBorders>
            <w:vAlign w:val="center"/>
          </w:tcPr>
          <w:p w14:paraId="2BB82968">
            <w:pPr>
              <w:jc w:val="center"/>
              <w:rPr>
                <w:rFonts w:hint="eastAsia" w:ascii="宋体" w:hAnsi="宋体" w:eastAsia="宋体" w:cs="宋体"/>
                <w:color w:val="auto"/>
                <w:sz w:val="24"/>
                <w:szCs w:val="24"/>
                <w:highlight w:val="none"/>
              </w:rPr>
            </w:pPr>
          </w:p>
        </w:tc>
        <w:tc>
          <w:tcPr>
            <w:tcW w:w="1533" w:type="dxa"/>
            <w:tcBorders>
              <w:top w:val="single" w:color="000000" w:sz="4" w:space="0"/>
              <w:left w:val="nil"/>
              <w:bottom w:val="single" w:color="000000" w:sz="4" w:space="0"/>
              <w:right w:val="single" w:color="000000" w:sz="4" w:space="0"/>
            </w:tcBorders>
            <w:vAlign w:val="center"/>
          </w:tcPr>
          <w:p w14:paraId="15881B1B">
            <w:pPr>
              <w:jc w:val="center"/>
              <w:rPr>
                <w:rFonts w:hint="eastAsia" w:ascii="宋体" w:hAnsi="宋体" w:eastAsia="宋体" w:cs="宋体"/>
                <w:color w:val="auto"/>
                <w:sz w:val="24"/>
                <w:szCs w:val="24"/>
                <w:highlight w:val="none"/>
              </w:rPr>
            </w:pPr>
          </w:p>
        </w:tc>
        <w:tc>
          <w:tcPr>
            <w:tcW w:w="919" w:type="dxa"/>
            <w:tcBorders>
              <w:top w:val="single" w:color="000000" w:sz="4" w:space="0"/>
              <w:left w:val="nil"/>
              <w:bottom w:val="single" w:color="000000" w:sz="4" w:space="0"/>
              <w:right w:val="single" w:color="000000" w:sz="4" w:space="0"/>
            </w:tcBorders>
            <w:vAlign w:val="center"/>
          </w:tcPr>
          <w:p w14:paraId="1E9C1127">
            <w:pPr>
              <w:jc w:val="center"/>
              <w:rPr>
                <w:rFonts w:hint="eastAsia" w:ascii="宋体" w:hAnsi="宋体" w:eastAsia="宋体" w:cs="宋体"/>
                <w:color w:val="auto"/>
                <w:sz w:val="24"/>
                <w:szCs w:val="24"/>
                <w:highlight w:val="none"/>
              </w:rPr>
            </w:pPr>
          </w:p>
        </w:tc>
      </w:tr>
      <w:tr w14:paraId="5263A338">
        <w:tblPrEx>
          <w:tblCellMar>
            <w:top w:w="0" w:type="dxa"/>
            <w:left w:w="108" w:type="dxa"/>
            <w:bottom w:w="0" w:type="dxa"/>
            <w:right w:w="108" w:type="dxa"/>
          </w:tblCellMar>
        </w:tblPrEx>
        <w:trPr>
          <w:trHeight w:val="540" w:hRule="atLeast"/>
          <w:tblHeader/>
          <w:jc w:val="center"/>
        </w:trPr>
        <w:tc>
          <w:tcPr>
            <w:tcW w:w="887" w:type="dxa"/>
            <w:tcBorders>
              <w:top w:val="single" w:color="000000" w:sz="4" w:space="0"/>
              <w:left w:val="single" w:color="000000" w:sz="4" w:space="0"/>
              <w:bottom w:val="single" w:color="000000" w:sz="4" w:space="0"/>
              <w:right w:val="single" w:color="000000" w:sz="4" w:space="0"/>
            </w:tcBorders>
            <w:vAlign w:val="center"/>
          </w:tcPr>
          <w:p w14:paraId="20A1AD7C">
            <w:pPr>
              <w:pStyle w:val="225"/>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093" w:type="dxa"/>
            <w:tcBorders>
              <w:top w:val="single" w:color="000000" w:sz="4" w:space="0"/>
              <w:left w:val="nil"/>
              <w:bottom w:val="single" w:color="000000" w:sz="4" w:space="0"/>
              <w:right w:val="single" w:color="000000" w:sz="4" w:space="0"/>
            </w:tcBorders>
            <w:vAlign w:val="center"/>
          </w:tcPr>
          <w:p w14:paraId="45320E43">
            <w:pPr>
              <w:jc w:val="center"/>
              <w:rPr>
                <w:rFonts w:hint="eastAsia" w:ascii="宋体" w:hAnsi="宋体" w:eastAsia="宋体" w:cs="宋体"/>
                <w:color w:val="auto"/>
                <w:sz w:val="24"/>
                <w:szCs w:val="24"/>
                <w:highlight w:val="none"/>
              </w:rPr>
            </w:pPr>
          </w:p>
        </w:tc>
        <w:tc>
          <w:tcPr>
            <w:tcW w:w="912" w:type="dxa"/>
            <w:tcBorders>
              <w:top w:val="single" w:color="000000" w:sz="4" w:space="0"/>
              <w:left w:val="nil"/>
              <w:bottom w:val="single" w:color="000000" w:sz="4" w:space="0"/>
              <w:right w:val="single" w:color="000000" w:sz="4" w:space="0"/>
            </w:tcBorders>
            <w:vAlign w:val="center"/>
          </w:tcPr>
          <w:p w14:paraId="521E2384">
            <w:pPr>
              <w:jc w:val="center"/>
              <w:rPr>
                <w:rFonts w:hint="eastAsia" w:ascii="宋体" w:hAnsi="宋体" w:eastAsia="宋体" w:cs="宋体"/>
                <w:color w:val="auto"/>
                <w:sz w:val="24"/>
                <w:szCs w:val="24"/>
                <w:highlight w:val="none"/>
              </w:rPr>
            </w:pPr>
          </w:p>
        </w:tc>
        <w:tc>
          <w:tcPr>
            <w:tcW w:w="1215" w:type="dxa"/>
            <w:tcBorders>
              <w:top w:val="single" w:color="000000" w:sz="4" w:space="0"/>
              <w:left w:val="nil"/>
              <w:bottom w:val="single" w:color="000000" w:sz="4" w:space="0"/>
              <w:right w:val="single" w:color="000000" w:sz="4" w:space="0"/>
            </w:tcBorders>
            <w:vAlign w:val="center"/>
          </w:tcPr>
          <w:p w14:paraId="077ED99B">
            <w:pPr>
              <w:jc w:val="center"/>
              <w:rPr>
                <w:rFonts w:hint="eastAsia" w:ascii="宋体" w:hAnsi="宋体" w:eastAsia="宋体" w:cs="宋体"/>
                <w:color w:val="auto"/>
                <w:sz w:val="24"/>
                <w:szCs w:val="24"/>
                <w:highlight w:val="none"/>
              </w:rPr>
            </w:pPr>
          </w:p>
        </w:tc>
        <w:tc>
          <w:tcPr>
            <w:tcW w:w="1533" w:type="dxa"/>
            <w:tcBorders>
              <w:top w:val="single" w:color="000000" w:sz="4" w:space="0"/>
              <w:left w:val="nil"/>
              <w:bottom w:val="single" w:color="000000" w:sz="4" w:space="0"/>
              <w:right w:val="single" w:color="000000" w:sz="4" w:space="0"/>
            </w:tcBorders>
            <w:vAlign w:val="center"/>
          </w:tcPr>
          <w:p w14:paraId="0BCE97AB">
            <w:pPr>
              <w:jc w:val="center"/>
              <w:rPr>
                <w:rFonts w:hint="eastAsia" w:ascii="宋体" w:hAnsi="宋体" w:eastAsia="宋体" w:cs="宋体"/>
                <w:color w:val="auto"/>
                <w:sz w:val="24"/>
                <w:szCs w:val="24"/>
                <w:highlight w:val="none"/>
              </w:rPr>
            </w:pPr>
          </w:p>
        </w:tc>
        <w:tc>
          <w:tcPr>
            <w:tcW w:w="919" w:type="dxa"/>
            <w:tcBorders>
              <w:top w:val="single" w:color="000000" w:sz="4" w:space="0"/>
              <w:left w:val="nil"/>
              <w:bottom w:val="single" w:color="000000" w:sz="4" w:space="0"/>
              <w:right w:val="single" w:color="000000" w:sz="4" w:space="0"/>
            </w:tcBorders>
            <w:vAlign w:val="center"/>
          </w:tcPr>
          <w:p w14:paraId="38740549">
            <w:pPr>
              <w:jc w:val="center"/>
              <w:rPr>
                <w:rFonts w:hint="eastAsia" w:ascii="宋体" w:hAnsi="宋体" w:eastAsia="宋体" w:cs="宋体"/>
                <w:color w:val="auto"/>
                <w:sz w:val="24"/>
                <w:szCs w:val="24"/>
                <w:highlight w:val="none"/>
              </w:rPr>
            </w:pPr>
          </w:p>
        </w:tc>
      </w:tr>
      <w:tr w14:paraId="718F0334">
        <w:tblPrEx>
          <w:tblCellMar>
            <w:top w:w="0" w:type="dxa"/>
            <w:left w:w="108" w:type="dxa"/>
            <w:bottom w:w="0" w:type="dxa"/>
            <w:right w:w="108" w:type="dxa"/>
          </w:tblCellMar>
        </w:tblPrEx>
        <w:trPr>
          <w:trHeight w:val="540" w:hRule="atLeast"/>
          <w:tblHeader/>
          <w:jc w:val="center"/>
        </w:trPr>
        <w:tc>
          <w:tcPr>
            <w:tcW w:w="887" w:type="dxa"/>
            <w:tcBorders>
              <w:top w:val="single" w:color="000000" w:sz="4" w:space="0"/>
              <w:left w:val="single" w:color="000000" w:sz="4" w:space="0"/>
              <w:bottom w:val="single" w:color="000000" w:sz="4" w:space="0"/>
              <w:right w:val="single" w:color="000000" w:sz="4" w:space="0"/>
            </w:tcBorders>
            <w:vAlign w:val="center"/>
          </w:tcPr>
          <w:p w14:paraId="211758B1">
            <w:pPr>
              <w:pStyle w:val="225"/>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093" w:type="dxa"/>
            <w:tcBorders>
              <w:top w:val="single" w:color="000000" w:sz="4" w:space="0"/>
              <w:left w:val="nil"/>
              <w:bottom w:val="single" w:color="000000" w:sz="4" w:space="0"/>
              <w:right w:val="single" w:color="000000" w:sz="4" w:space="0"/>
            </w:tcBorders>
            <w:vAlign w:val="center"/>
          </w:tcPr>
          <w:p w14:paraId="42107047">
            <w:pPr>
              <w:jc w:val="center"/>
              <w:rPr>
                <w:rFonts w:hint="eastAsia" w:ascii="宋体" w:hAnsi="宋体" w:eastAsia="宋体" w:cs="宋体"/>
                <w:color w:val="auto"/>
                <w:sz w:val="24"/>
                <w:szCs w:val="24"/>
                <w:highlight w:val="none"/>
              </w:rPr>
            </w:pPr>
          </w:p>
        </w:tc>
        <w:tc>
          <w:tcPr>
            <w:tcW w:w="912" w:type="dxa"/>
            <w:tcBorders>
              <w:top w:val="single" w:color="000000" w:sz="4" w:space="0"/>
              <w:left w:val="nil"/>
              <w:bottom w:val="single" w:color="000000" w:sz="4" w:space="0"/>
              <w:right w:val="single" w:color="000000" w:sz="4" w:space="0"/>
            </w:tcBorders>
            <w:vAlign w:val="center"/>
          </w:tcPr>
          <w:p w14:paraId="1AF5AAF4">
            <w:pPr>
              <w:jc w:val="center"/>
              <w:rPr>
                <w:rFonts w:hint="eastAsia" w:ascii="宋体" w:hAnsi="宋体" w:eastAsia="宋体" w:cs="宋体"/>
                <w:color w:val="auto"/>
                <w:sz w:val="24"/>
                <w:szCs w:val="24"/>
                <w:highlight w:val="none"/>
              </w:rPr>
            </w:pPr>
          </w:p>
        </w:tc>
        <w:tc>
          <w:tcPr>
            <w:tcW w:w="1215" w:type="dxa"/>
            <w:tcBorders>
              <w:top w:val="single" w:color="000000" w:sz="4" w:space="0"/>
              <w:left w:val="nil"/>
              <w:bottom w:val="single" w:color="000000" w:sz="4" w:space="0"/>
              <w:right w:val="single" w:color="000000" w:sz="4" w:space="0"/>
            </w:tcBorders>
            <w:vAlign w:val="center"/>
          </w:tcPr>
          <w:p w14:paraId="6558D8FC">
            <w:pPr>
              <w:jc w:val="center"/>
              <w:rPr>
                <w:rFonts w:hint="eastAsia" w:ascii="宋体" w:hAnsi="宋体" w:eastAsia="宋体" w:cs="宋体"/>
                <w:color w:val="auto"/>
                <w:sz w:val="24"/>
                <w:szCs w:val="24"/>
                <w:highlight w:val="none"/>
              </w:rPr>
            </w:pPr>
          </w:p>
        </w:tc>
        <w:tc>
          <w:tcPr>
            <w:tcW w:w="1533" w:type="dxa"/>
            <w:tcBorders>
              <w:top w:val="single" w:color="000000" w:sz="4" w:space="0"/>
              <w:left w:val="nil"/>
              <w:bottom w:val="single" w:color="000000" w:sz="4" w:space="0"/>
              <w:right w:val="single" w:color="000000" w:sz="4" w:space="0"/>
            </w:tcBorders>
            <w:vAlign w:val="center"/>
          </w:tcPr>
          <w:p w14:paraId="1084E663">
            <w:pPr>
              <w:jc w:val="center"/>
              <w:rPr>
                <w:rFonts w:hint="eastAsia" w:ascii="宋体" w:hAnsi="宋体" w:eastAsia="宋体" w:cs="宋体"/>
                <w:color w:val="auto"/>
                <w:sz w:val="24"/>
                <w:szCs w:val="24"/>
                <w:highlight w:val="none"/>
              </w:rPr>
            </w:pPr>
          </w:p>
        </w:tc>
        <w:tc>
          <w:tcPr>
            <w:tcW w:w="919" w:type="dxa"/>
            <w:tcBorders>
              <w:top w:val="single" w:color="000000" w:sz="4" w:space="0"/>
              <w:left w:val="nil"/>
              <w:bottom w:val="single" w:color="000000" w:sz="4" w:space="0"/>
              <w:right w:val="single" w:color="000000" w:sz="4" w:space="0"/>
            </w:tcBorders>
            <w:vAlign w:val="center"/>
          </w:tcPr>
          <w:p w14:paraId="03D92E7B">
            <w:pPr>
              <w:jc w:val="center"/>
              <w:rPr>
                <w:rFonts w:hint="eastAsia" w:ascii="宋体" w:hAnsi="宋体" w:eastAsia="宋体" w:cs="宋体"/>
                <w:color w:val="auto"/>
                <w:sz w:val="24"/>
                <w:szCs w:val="24"/>
                <w:highlight w:val="none"/>
              </w:rPr>
            </w:pPr>
          </w:p>
        </w:tc>
      </w:tr>
      <w:tr w14:paraId="762F0428">
        <w:tblPrEx>
          <w:tblCellMar>
            <w:top w:w="0" w:type="dxa"/>
            <w:left w:w="108" w:type="dxa"/>
            <w:bottom w:w="0" w:type="dxa"/>
            <w:right w:w="108" w:type="dxa"/>
          </w:tblCellMar>
        </w:tblPrEx>
        <w:trPr>
          <w:trHeight w:val="540" w:hRule="atLeast"/>
          <w:tblHeader/>
          <w:jc w:val="center"/>
        </w:trPr>
        <w:tc>
          <w:tcPr>
            <w:tcW w:w="887" w:type="dxa"/>
            <w:tcBorders>
              <w:top w:val="single" w:color="000000" w:sz="4" w:space="0"/>
              <w:left w:val="single" w:color="000000" w:sz="4" w:space="0"/>
              <w:bottom w:val="single" w:color="000000" w:sz="4" w:space="0"/>
              <w:right w:val="single" w:color="000000" w:sz="4" w:space="0"/>
            </w:tcBorders>
            <w:vAlign w:val="center"/>
          </w:tcPr>
          <w:p w14:paraId="7B67950F">
            <w:pPr>
              <w:pStyle w:val="225"/>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093" w:type="dxa"/>
            <w:tcBorders>
              <w:top w:val="single" w:color="000000" w:sz="4" w:space="0"/>
              <w:left w:val="nil"/>
              <w:bottom w:val="single" w:color="000000" w:sz="4" w:space="0"/>
              <w:right w:val="single" w:color="000000" w:sz="4" w:space="0"/>
            </w:tcBorders>
            <w:vAlign w:val="center"/>
          </w:tcPr>
          <w:p w14:paraId="1AC46504">
            <w:pPr>
              <w:jc w:val="center"/>
              <w:rPr>
                <w:rFonts w:hint="eastAsia" w:ascii="宋体" w:hAnsi="宋体" w:eastAsia="宋体" w:cs="宋体"/>
                <w:color w:val="auto"/>
                <w:sz w:val="24"/>
                <w:szCs w:val="24"/>
                <w:highlight w:val="none"/>
              </w:rPr>
            </w:pPr>
          </w:p>
        </w:tc>
        <w:tc>
          <w:tcPr>
            <w:tcW w:w="912" w:type="dxa"/>
            <w:tcBorders>
              <w:top w:val="single" w:color="000000" w:sz="4" w:space="0"/>
              <w:left w:val="nil"/>
              <w:bottom w:val="single" w:color="000000" w:sz="4" w:space="0"/>
              <w:right w:val="single" w:color="000000" w:sz="4" w:space="0"/>
            </w:tcBorders>
            <w:vAlign w:val="center"/>
          </w:tcPr>
          <w:p w14:paraId="25743D89">
            <w:pPr>
              <w:jc w:val="center"/>
              <w:rPr>
                <w:rFonts w:hint="eastAsia" w:ascii="宋体" w:hAnsi="宋体" w:eastAsia="宋体" w:cs="宋体"/>
                <w:color w:val="auto"/>
                <w:sz w:val="24"/>
                <w:szCs w:val="24"/>
                <w:highlight w:val="none"/>
              </w:rPr>
            </w:pPr>
          </w:p>
        </w:tc>
        <w:tc>
          <w:tcPr>
            <w:tcW w:w="1215" w:type="dxa"/>
            <w:tcBorders>
              <w:top w:val="single" w:color="000000" w:sz="4" w:space="0"/>
              <w:left w:val="nil"/>
              <w:bottom w:val="single" w:color="000000" w:sz="4" w:space="0"/>
              <w:right w:val="single" w:color="000000" w:sz="4" w:space="0"/>
            </w:tcBorders>
            <w:vAlign w:val="center"/>
          </w:tcPr>
          <w:p w14:paraId="27510319">
            <w:pPr>
              <w:jc w:val="center"/>
              <w:rPr>
                <w:rFonts w:hint="eastAsia" w:ascii="宋体" w:hAnsi="宋体" w:eastAsia="宋体" w:cs="宋体"/>
                <w:color w:val="auto"/>
                <w:sz w:val="24"/>
                <w:szCs w:val="24"/>
                <w:highlight w:val="none"/>
              </w:rPr>
            </w:pPr>
          </w:p>
        </w:tc>
        <w:tc>
          <w:tcPr>
            <w:tcW w:w="1533" w:type="dxa"/>
            <w:tcBorders>
              <w:top w:val="single" w:color="000000" w:sz="4" w:space="0"/>
              <w:left w:val="nil"/>
              <w:bottom w:val="single" w:color="000000" w:sz="4" w:space="0"/>
              <w:right w:val="single" w:color="000000" w:sz="4" w:space="0"/>
            </w:tcBorders>
            <w:vAlign w:val="center"/>
          </w:tcPr>
          <w:p w14:paraId="63102B67">
            <w:pPr>
              <w:jc w:val="center"/>
              <w:rPr>
                <w:rFonts w:hint="eastAsia" w:ascii="宋体" w:hAnsi="宋体" w:eastAsia="宋体" w:cs="宋体"/>
                <w:color w:val="auto"/>
                <w:sz w:val="24"/>
                <w:szCs w:val="24"/>
                <w:highlight w:val="none"/>
              </w:rPr>
            </w:pPr>
          </w:p>
        </w:tc>
        <w:tc>
          <w:tcPr>
            <w:tcW w:w="919" w:type="dxa"/>
            <w:tcBorders>
              <w:top w:val="single" w:color="000000" w:sz="4" w:space="0"/>
              <w:left w:val="nil"/>
              <w:bottom w:val="single" w:color="000000" w:sz="4" w:space="0"/>
              <w:right w:val="single" w:color="000000" w:sz="4" w:space="0"/>
            </w:tcBorders>
            <w:vAlign w:val="center"/>
          </w:tcPr>
          <w:p w14:paraId="1BDE84F5">
            <w:pPr>
              <w:jc w:val="center"/>
              <w:rPr>
                <w:rFonts w:hint="eastAsia" w:ascii="宋体" w:hAnsi="宋体" w:eastAsia="宋体" w:cs="宋体"/>
                <w:color w:val="auto"/>
                <w:sz w:val="24"/>
                <w:szCs w:val="24"/>
                <w:highlight w:val="none"/>
              </w:rPr>
            </w:pPr>
          </w:p>
        </w:tc>
      </w:tr>
    </w:tbl>
    <w:p w14:paraId="3976B9CB">
      <w:pPr>
        <w:pStyle w:val="343"/>
        <w:ind w:firstLine="480"/>
        <w:rPr>
          <w:rFonts w:hint="eastAsia" w:ascii="宋体" w:hAnsi="宋体" w:eastAsia="宋体" w:cs="宋体"/>
          <w:color w:val="auto"/>
          <w:highlight w:val="none"/>
        </w:rPr>
      </w:pPr>
      <w:r>
        <w:rPr>
          <w:rFonts w:hint="eastAsia" w:ascii="宋体" w:hAnsi="宋体" w:eastAsia="宋体" w:cs="宋体"/>
          <w:color w:val="auto"/>
          <w:szCs w:val="24"/>
          <w:highlight w:val="none"/>
        </w:rPr>
        <w:t>注：后附相关证明材料详见采购文件要求。</w:t>
      </w:r>
    </w:p>
    <w:p w14:paraId="118D0800">
      <w:pPr>
        <w:tabs>
          <w:tab w:val="left" w:pos="645"/>
        </w:tabs>
        <w:spacing w:line="360" w:lineRule="auto"/>
        <w:rPr>
          <w:rFonts w:hint="eastAsia" w:ascii="宋体" w:hAnsi="宋体" w:eastAsia="宋体" w:cs="宋体"/>
          <w:color w:val="auto"/>
          <w:sz w:val="24"/>
          <w:szCs w:val="24"/>
          <w:highlight w:val="none"/>
        </w:rPr>
      </w:pPr>
    </w:p>
    <w:p w14:paraId="2CE5D13E">
      <w:pPr>
        <w:tabs>
          <w:tab w:val="left" w:pos="645"/>
        </w:tabs>
        <w:spacing w:line="360" w:lineRule="auto"/>
        <w:rPr>
          <w:rFonts w:hint="eastAsia" w:ascii="宋体" w:hAnsi="宋体" w:eastAsia="宋体" w:cs="宋体"/>
          <w:color w:val="auto"/>
          <w:szCs w:val="21"/>
          <w:highlight w:val="none"/>
        </w:rPr>
      </w:pPr>
    </w:p>
    <w:p w14:paraId="049E900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28334E7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3C96437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E851C1B">
      <w:pPr>
        <w:tabs>
          <w:tab w:val="left" w:pos="645"/>
        </w:tabs>
        <w:spacing w:line="360" w:lineRule="auto"/>
        <w:rPr>
          <w:rFonts w:hint="eastAsia" w:ascii="宋体" w:hAnsi="宋体" w:eastAsia="宋体" w:cs="宋体"/>
          <w:b/>
          <w:color w:val="auto"/>
          <w:sz w:val="24"/>
          <w:highlight w:val="none"/>
        </w:rPr>
      </w:pPr>
    </w:p>
    <w:p w14:paraId="48B81B0C">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p>
    <w:p w14:paraId="074365DA">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投标单位</w:t>
      </w:r>
      <w:r>
        <w:rPr>
          <w:rFonts w:hint="eastAsia" w:ascii="宋体" w:hAnsi="宋体" w:eastAsia="宋体" w:cs="宋体"/>
          <w:b/>
          <w:bCs/>
          <w:color w:val="auto"/>
          <w:sz w:val="28"/>
          <w:szCs w:val="28"/>
          <w:highlight w:val="none"/>
        </w:rPr>
        <w:t>类似项目业绩一览表</w:t>
      </w:r>
    </w:p>
    <w:tbl>
      <w:tblPr>
        <w:tblStyle w:val="38"/>
        <w:tblW w:w="8066" w:type="dxa"/>
        <w:jc w:val="center"/>
        <w:tblLayout w:type="fixed"/>
        <w:tblCellMar>
          <w:top w:w="0" w:type="dxa"/>
          <w:left w:w="0" w:type="dxa"/>
          <w:bottom w:w="0" w:type="dxa"/>
          <w:right w:w="0" w:type="dxa"/>
        </w:tblCellMar>
      </w:tblPr>
      <w:tblGrid>
        <w:gridCol w:w="542"/>
        <w:gridCol w:w="2028"/>
        <w:gridCol w:w="839"/>
        <w:gridCol w:w="1068"/>
        <w:gridCol w:w="2509"/>
        <w:gridCol w:w="1080"/>
      </w:tblGrid>
      <w:tr w14:paraId="4DCF6247">
        <w:tblPrEx>
          <w:tblCellMar>
            <w:top w:w="0" w:type="dxa"/>
            <w:left w:w="0" w:type="dxa"/>
            <w:bottom w:w="0" w:type="dxa"/>
            <w:right w:w="0" w:type="dxa"/>
          </w:tblCellMar>
        </w:tblPrEx>
        <w:trPr>
          <w:trHeight w:val="760" w:hRule="atLeast"/>
          <w:jc w:val="center"/>
        </w:trPr>
        <w:tc>
          <w:tcPr>
            <w:tcW w:w="542" w:type="dxa"/>
            <w:tcBorders>
              <w:top w:val="single" w:color="000000" w:sz="4" w:space="0"/>
              <w:left w:val="single" w:color="000000" w:sz="4" w:space="0"/>
              <w:bottom w:val="single" w:color="000000" w:sz="4" w:space="0"/>
              <w:right w:val="single" w:color="000000" w:sz="4" w:space="0"/>
            </w:tcBorders>
            <w:vAlign w:val="center"/>
          </w:tcPr>
          <w:p w14:paraId="7B55297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028" w:type="dxa"/>
            <w:tcBorders>
              <w:top w:val="single" w:color="000000" w:sz="4" w:space="0"/>
              <w:left w:val="nil"/>
              <w:bottom w:val="single" w:color="000000" w:sz="4" w:space="0"/>
              <w:right w:val="single" w:color="000000" w:sz="4" w:space="0"/>
            </w:tcBorders>
            <w:vAlign w:val="center"/>
          </w:tcPr>
          <w:p w14:paraId="21E725B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839" w:type="dxa"/>
            <w:tcBorders>
              <w:top w:val="single" w:color="000000" w:sz="4" w:space="0"/>
              <w:left w:val="nil"/>
              <w:bottom w:val="single" w:color="000000" w:sz="4" w:space="0"/>
              <w:right w:val="single" w:color="000000" w:sz="4" w:space="0"/>
            </w:tcBorders>
            <w:vAlign w:val="center"/>
          </w:tcPr>
          <w:p w14:paraId="6280389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w:t>
            </w:r>
            <w:r>
              <w:rPr>
                <w:rFonts w:hint="eastAsia" w:ascii="宋体" w:hAnsi="宋体" w:cs="宋体"/>
                <w:color w:val="auto"/>
                <w:sz w:val="24"/>
                <w:szCs w:val="24"/>
                <w:highlight w:val="none"/>
                <w:lang w:val="en-US" w:eastAsia="zh-CN"/>
              </w:rPr>
              <w:t>验收</w:t>
            </w:r>
            <w:r>
              <w:rPr>
                <w:rFonts w:hint="eastAsia" w:ascii="宋体" w:hAnsi="宋体" w:eastAsia="宋体" w:cs="宋体"/>
                <w:color w:val="auto"/>
                <w:sz w:val="24"/>
                <w:szCs w:val="24"/>
                <w:highlight w:val="none"/>
              </w:rPr>
              <w:t>时间</w:t>
            </w:r>
          </w:p>
        </w:tc>
        <w:tc>
          <w:tcPr>
            <w:tcW w:w="1068" w:type="dxa"/>
            <w:tcBorders>
              <w:top w:val="single" w:color="000000" w:sz="4" w:space="0"/>
              <w:left w:val="nil"/>
              <w:bottom w:val="single" w:color="000000" w:sz="4" w:space="0"/>
              <w:right w:val="single" w:color="000000" w:sz="4" w:space="0"/>
            </w:tcBorders>
            <w:vAlign w:val="center"/>
          </w:tcPr>
          <w:p w14:paraId="57654BB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合同金额</w:t>
            </w:r>
          </w:p>
          <w:p w14:paraId="648C89F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万元</w:t>
            </w:r>
            <w:r>
              <w:rPr>
                <w:rFonts w:hint="eastAsia" w:ascii="宋体" w:hAnsi="宋体" w:eastAsia="宋体" w:cs="宋体"/>
                <w:color w:val="auto"/>
                <w:sz w:val="24"/>
                <w:szCs w:val="24"/>
                <w:highlight w:val="none"/>
              </w:rPr>
              <w:t>）</w:t>
            </w:r>
          </w:p>
        </w:tc>
        <w:tc>
          <w:tcPr>
            <w:tcW w:w="2509" w:type="dxa"/>
            <w:tcBorders>
              <w:top w:val="single" w:color="000000" w:sz="4" w:space="0"/>
              <w:left w:val="nil"/>
              <w:bottom w:val="single" w:color="000000" w:sz="4" w:space="0"/>
              <w:right w:val="single" w:color="000000" w:sz="4" w:space="0"/>
            </w:tcBorders>
            <w:vAlign w:val="center"/>
          </w:tcPr>
          <w:p w14:paraId="59F86A9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业主单位</w:t>
            </w:r>
          </w:p>
        </w:tc>
        <w:tc>
          <w:tcPr>
            <w:tcW w:w="1080" w:type="dxa"/>
            <w:tcBorders>
              <w:top w:val="single" w:color="000000" w:sz="4" w:space="0"/>
              <w:left w:val="nil"/>
              <w:bottom w:val="single" w:color="000000" w:sz="4" w:space="0"/>
              <w:right w:val="single" w:color="000000" w:sz="4" w:space="0"/>
            </w:tcBorders>
            <w:vAlign w:val="center"/>
          </w:tcPr>
          <w:p w14:paraId="0B87524D">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w:t>
            </w:r>
          </w:p>
        </w:tc>
      </w:tr>
      <w:tr w14:paraId="4550D9B5">
        <w:tblPrEx>
          <w:tblCellMar>
            <w:top w:w="0" w:type="dxa"/>
            <w:left w:w="0" w:type="dxa"/>
            <w:bottom w:w="0" w:type="dxa"/>
            <w:right w:w="0" w:type="dxa"/>
          </w:tblCellMar>
        </w:tblPrEx>
        <w:trPr>
          <w:trHeight w:val="684" w:hRule="atLeast"/>
          <w:jc w:val="center"/>
        </w:trPr>
        <w:tc>
          <w:tcPr>
            <w:tcW w:w="542" w:type="dxa"/>
            <w:tcBorders>
              <w:top w:val="single" w:color="000000" w:sz="4" w:space="0"/>
              <w:left w:val="single" w:color="000000" w:sz="4" w:space="0"/>
              <w:bottom w:val="single" w:color="000000" w:sz="4" w:space="0"/>
              <w:right w:val="single" w:color="000000" w:sz="4" w:space="0"/>
            </w:tcBorders>
            <w:vAlign w:val="center"/>
          </w:tcPr>
          <w:p w14:paraId="28C1970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28" w:type="dxa"/>
            <w:tcBorders>
              <w:top w:val="single" w:color="000000" w:sz="4" w:space="0"/>
              <w:left w:val="nil"/>
              <w:bottom w:val="single" w:color="000000" w:sz="4" w:space="0"/>
              <w:right w:val="single" w:color="000000" w:sz="4" w:space="0"/>
            </w:tcBorders>
            <w:vAlign w:val="center"/>
          </w:tcPr>
          <w:p w14:paraId="46518B55">
            <w:pPr>
              <w:spacing w:line="360" w:lineRule="auto"/>
              <w:jc w:val="center"/>
              <w:rPr>
                <w:rFonts w:hint="eastAsia" w:ascii="宋体" w:hAnsi="宋体" w:eastAsia="宋体" w:cs="宋体"/>
                <w:color w:val="auto"/>
                <w:sz w:val="24"/>
                <w:szCs w:val="24"/>
                <w:highlight w:val="none"/>
              </w:rPr>
            </w:pPr>
          </w:p>
        </w:tc>
        <w:tc>
          <w:tcPr>
            <w:tcW w:w="839" w:type="dxa"/>
            <w:tcBorders>
              <w:top w:val="single" w:color="000000" w:sz="4" w:space="0"/>
              <w:left w:val="nil"/>
              <w:bottom w:val="single" w:color="000000" w:sz="4" w:space="0"/>
              <w:right w:val="single" w:color="000000" w:sz="4" w:space="0"/>
            </w:tcBorders>
            <w:vAlign w:val="center"/>
          </w:tcPr>
          <w:p w14:paraId="398FFC07">
            <w:pPr>
              <w:spacing w:line="360" w:lineRule="auto"/>
              <w:jc w:val="center"/>
              <w:rPr>
                <w:rFonts w:hint="eastAsia" w:ascii="宋体" w:hAnsi="宋体" w:eastAsia="宋体" w:cs="宋体"/>
                <w:color w:val="auto"/>
                <w:sz w:val="24"/>
                <w:szCs w:val="24"/>
                <w:highlight w:val="none"/>
              </w:rPr>
            </w:pPr>
          </w:p>
        </w:tc>
        <w:tc>
          <w:tcPr>
            <w:tcW w:w="1068" w:type="dxa"/>
            <w:tcBorders>
              <w:top w:val="single" w:color="000000" w:sz="4" w:space="0"/>
              <w:left w:val="nil"/>
              <w:bottom w:val="single" w:color="000000" w:sz="4" w:space="0"/>
              <w:right w:val="single" w:color="000000" w:sz="4" w:space="0"/>
            </w:tcBorders>
            <w:vAlign w:val="center"/>
          </w:tcPr>
          <w:p w14:paraId="43E349B8">
            <w:pPr>
              <w:spacing w:line="360" w:lineRule="auto"/>
              <w:jc w:val="center"/>
              <w:rPr>
                <w:rFonts w:hint="eastAsia" w:ascii="宋体" w:hAnsi="宋体" w:eastAsia="宋体" w:cs="宋体"/>
                <w:color w:val="auto"/>
                <w:sz w:val="24"/>
                <w:szCs w:val="24"/>
                <w:highlight w:val="none"/>
              </w:rPr>
            </w:pPr>
          </w:p>
        </w:tc>
        <w:tc>
          <w:tcPr>
            <w:tcW w:w="2509" w:type="dxa"/>
            <w:tcBorders>
              <w:top w:val="single" w:color="000000" w:sz="4" w:space="0"/>
              <w:left w:val="nil"/>
              <w:bottom w:val="single" w:color="000000" w:sz="4" w:space="0"/>
              <w:right w:val="single" w:color="000000" w:sz="4" w:space="0"/>
            </w:tcBorders>
            <w:vAlign w:val="center"/>
          </w:tcPr>
          <w:p w14:paraId="79D8124E">
            <w:pPr>
              <w:spacing w:line="360" w:lineRule="auto"/>
              <w:jc w:val="center"/>
              <w:rPr>
                <w:rFonts w:hint="eastAsia" w:ascii="宋体" w:hAnsi="宋体" w:eastAsia="宋体" w:cs="宋体"/>
                <w:color w:val="auto"/>
                <w:sz w:val="24"/>
                <w:szCs w:val="24"/>
                <w:highlight w:val="none"/>
              </w:rPr>
            </w:pPr>
          </w:p>
        </w:tc>
        <w:tc>
          <w:tcPr>
            <w:tcW w:w="1080" w:type="dxa"/>
            <w:tcBorders>
              <w:top w:val="single" w:color="000000" w:sz="4" w:space="0"/>
              <w:left w:val="nil"/>
              <w:bottom w:val="single" w:color="000000" w:sz="4" w:space="0"/>
              <w:right w:val="single" w:color="000000" w:sz="4" w:space="0"/>
            </w:tcBorders>
            <w:vAlign w:val="center"/>
          </w:tcPr>
          <w:p w14:paraId="7BBB39B4">
            <w:pPr>
              <w:spacing w:line="360" w:lineRule="auto"/>
              <w:jc w:val="center"/>
              <w:rPr>
                <w:rFonts w:hint="eastAsia" w:ascii="宋体" w:hAnsi="宋体" w:eastAsia="宋体" w:cs="宋体"/>
                <w:color w:val="auto"/>
                <w:sz w:val="24"/>
                <w:szCs w:val="24"/>
                <w:highlight w:val="none"/>
              </w:rPr>
            </w:pPr>
          </w:p>
        </w:tc>
      </w:tr>
      <w:tr w14:paraId="528EDD3D">
        <w:tblPrEx>
          <w:tblCellMar>
            <w:top w:w="0" w:type="dxa"/>
            <w:left w:w="0" w:type="dxa"/>
            <w:bottom w:w="0" w:type="dxa"/>
            <w:right w:w="0" w:type="dxa"/>
          </w:tblCellMar>
        </w:tblPrEx>
        <w:trPr>
          <w:trHeight w:val="792" w:hRule="atLeast"/>
          <w:jc w:val="center"/>
        </w:trPr>
        <w:tc>
          <w:tcPr>
            <w:tcW w:w="542" w:type="dxa"/>
            <w:tcBorders>
              <w:top w:val="single" w:color="000000" w:sz="4" w:space="0"/>
              <w:left w:val="single" w:color="000000" w:sz="4" w:space="0"/>
              <w:bottom w:val="single" w:color="000000" w:sz="4" w:space="0"/>
              <w:right w:val="single" w:color="000000" w:sz="4" w:space="0"/>
            </w:tcBorders>
            <w:vAlign w:val="center"/>
          </w:tcPr>
          <w:p w14:paraId="71FEBAC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028" w:type="dxa"/>
            <w:tcBorders>
              <w:top w:val="single" w:color="000000" w:sz="4" w:space="0"/>
              <w:left w:val="nil"/>
              <w:bottom w:val="single" w:color="000000" w:sz="4" w:space="0"/>
              <w:right w:val="single" w:color="000000" w:sz="4" w:space="0"/>
            </w:tcBorders>
            <w:vAlign w:val="center"/>
          </w:tcPr>
          <w:p w14:paraId="791A39C0">
            <w:pPr>
              <w:spacing w:line="360" w:lineRule="auto"/>
              <w:jc w:val="center"/>
              <w:rPr>
                <w:rFonts w:hint="eastAsia" w:ascii="宋体" w:hAnsi="宋体" w:eastAsia="宋体" w:cs="宋体"/>
                <w:color w:val="auto"/>
                <w:sz w:val="24"/>
                <w:szCs w:val="24"/>
                <w:highlight w:val="none"/>
              </w:rPr>
            </w:pPr>
          </w:p>
        </w:tc>
        <w:tc>
          <w:tcPr>
            <w:tcW w:w="839" w:type="dxa"/>
            <w:tcBorders>
              <w:top w:val="single" w:color="000000" w:sz="4" w:space="0"/>
              <w:left w:val="nil"/>
              <w:bottom w:val="single" w:color="000000" w:sz="4" w:space="0"/>
              <w:right w:val="single" w:color="000000" w:sz="4" w:space="0"/>
            </w:tcBorders>
            <w:vAlign w:val="center"/>
          </w:tcPr>
          <w:p w14:paraId="633492CA">
            <w:pPr>
              <w:spacing w:line="360" w:lineRule="auto"/>
              <w:jc w:val="center"/>
              <w:rPr>
                <w:rFonts w:hint="eastAsia" w:ascii="宋体" w:hAnsi="宋体" w:eastAsia="宋体" w:cs="宋体"/>
                <w:color w:val="auto"/>
                <w:sz w:val="24"/>
                <w:szCs w:val="24"/>
                <w:highlight w:val="none"/>
              </w:rPr>
            </w:pPr>
          </w:p>
        </w:tc>
        <w:tc>
          <w:tcPr>
            <w:tcW w:w="1068" w:type="dxa"/>
            <w:tcBorders>
              <w:top w:val="single" w:color="000000" w:sz="4" w:space="0"/>
              <w:left w:val="nil"/>
              <w:bottom w:val="single" w:color="000000" w:sz="4" w:space="0"/>
              <w:right w:val="single" w:color="000000" w:sz="4" w:space="0"/>
            </w:tcBorders>
            <w:vAlign w:val="center"/>
          </w:tcPr>
          <w:p w14:paraId="1D23BD7E">
            <w:pPr>
              <w:spacing w:line="360" w:lineRule="auto"/>
              <w:jc w:val="center"/>
              <w:rPr>
                <w:rFonts w:hint="eastAsia" w:ascii="宋体" w:hAnsi="宋体" w:eastAsia="宋体" w:cs="宋体"/>
                <w:color w:val="auto"/>
                <w:sz w:val="24"/>
                <w:szCs w:val="24"/>
                <w:highlight w:val="none"/>
              </w:rPr>
            </w:pPr>
          </w:p>
        </w:tc>
        <w:tc>
          <w:tcPr>
            <w:tcW w:w="2509" w:type="dxa"/>
            <w:tcBorders>
              <w:top w:val="single" w:color="000000" w:sz="4" w:space="0"/>
              <w:left w:val="nil"/>
              <w:bottom w:val="single" w:color="000000" w:sz="4" w:space="0"/>
              <w:right w:val="single" w:color="000000" w:sz="4" w:space="0"/>
            </w:tcBorders>
            <w:vAlign w:val="center"/>
          </w:tcPr>
          <w:p w14:paraId="76222653">
            <w:pPr>
              <w:spacing w:line="360" w:lineRule="auto"/>
              <w:jc w:val="center"/>
              <w:rPr>
                <w:rFonts w:hint="eastAsia" w:ascii="宋体" w:hAnsi="宋体" w:eastAsia="宋体" w:cs="宋体"/>
                <w:color w:val="auto"/>
                <w:sz w:val="24"/>
                <w:szCs w:val="24"/>
                <w:highlight w:val="none"/>
              </w:rPr>
            </w:pPr>
          </w:p>
        </w:tc>
        <w:tc>
          <w:tcPr>
            <w:tcW w:w="1080" w:type="dxa"/>
            <w:tcBorders>
              <w:top w:val="single" w:color="000000" w:sz="4" w:space="0"/>
              <w:left w:val="nil"/>
              <w:bottom w:val="single" w:color="000000" w:sz="4" w:space="0"/>
              <w:right w:val="single" w:color="000000" w:sz="4" w:space="0"/>
            </w:tcBorders>
            <w:vAlign w:val="center"/>
          </w:tcPr>
          <w:p w14:paraId="0289DB6C">
            <w:pPr>
              <w:spacing w:line="360" w:lineRule="auto"/>
              <w:jc w:val="center"/>
              <w:rPr>
                <w:rFonts w:hint="eastAsia" w:ascii="宋体" w:hAnsi="宋体" w:eastAsia="宋体" w:cs="宋体"/>
                <w:color w:val="auto"/>
                <w:sz w:val="24"/>
                <w:szCs w:val="24"/>
                <w:highlight w:val="none"/>
              </w:rPr>
            </w:pPr>
          </w:p>
        </w:tc>
      </w:tr>
      <w:tr w14:paraId="318ED231">
        <w:tblPrEx>
          <w:tblCellMar>
            <w:top w:w="0" w:type="dxa"/>
            <w:left w:w="0" w:type="dxa"/>
            <w:bottom w:w="0" w:type="dxa"/>
            <w:right w:w="0" w:type="dxa"/>
          </w:tblCellMar>
        </w:tblPrEx>
        <w:trPr>
          <w:trHeight w:val="840" w:hRule="atLeast"/>
          <w:jc w:val="center"/>
        </w:trPr>
        <w:tc>
          <w:tcPr>
            <w:tcW w:w="542" w:type="dxa"/>
            <w:tcBorders>
              <w:top w:val="single" w:color="000000" w:sz="4" w:space="0"/>
              <w:left w:val="single" w:color="000000" w:sz="4" w:space="0"/>
              <w:bottom w:val="single" w:color="000000" w:sz="4" w:space="0"/>
              <w:right w:val="single" w:color="000000" w:sz="4" w:space="0"/>
            </w:tcBorders>
            <w:vAlign w:val="center"/>
          </w:tcPr>
          <w:p w14:paraId="3D7BABE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028" w:type="dxa"/>
            <w:tcBorders>
              <w:top w:val="single" w:color="000000" w:sz="4" w:space="0"/>
              <w:left w:val="nil"/>
              <w:bottom w:val="single" w:color="000000" w:sz="4" w:space="0"/>
              <w:right w:val="single" w:color="000000" w:sz="4" w:space="0"/>
            </w:tcBorders>
            <w:vAlign w:val="center"/>
          </w:tcPr>
          <w:p w14:paraId="0441DF32">
            <w:pPr>
              <w:spacing w:line="360" w:lineRule="auto"/>
              <w:jc w:val="center"/>
              <w:rPr>
                <w:rFonts w:hint="eastAsia" w:ascii="宋体" w:hAnsi="宋体" w:eastAsia="宋体" w:cs="宋体"/>
                <w:color w:val="auto"/>
                <w:sz w:val="24"/>
                <w:szCs w:val="24"/>
                <w:highlight w:val="none"/>
              </w:rPr>
            </w:pPr>
          </w:p>
        </w:tc>
        <w:tc>
          <w:tcPr>
            <w:tcW w:w="839" w:type="dxa"/>
            <w:tcBorders>
              <w:top w:val="single" w:color="000000" w:sz="4" w:space="0"/>
              <w:left w:val="nil"/>
              <w:bottom w:val="single" w:color="000000" w:sz="4" w:space="0"/>
              <w:right w:val="single" w:color="000000" w:sz="4" w:space="0"/>
            </w:tcBorders>
            <w:vAlign w:val="center"/>
          </w:tcPr>
          <w:p w14:paraId="441480AE">
            <w:pPr>
              <w:spacing w:line="360" w:lineRule="auto"/>
              <w:jc w:val="center"/>
              <w:rPr>
                <w:rFonts w:hint="eastAsia" w:ascii="宋体" w:hAnsi="宋体" w:eastAsia="宋体" w:cs="宋体"/>
                <w:color w:val="auto"/>
                <w:sz w:val="24"/>
                <w:szCs w:val="24"/>
                <w:highlight w:val="none"/>
              </w:rPr>
            </w:pPr>
          </w:p>
        </w:tc>
        <w:tc>
          <w:tcPr>
            <w:tcW w:w="1068" w:type="dxa"/>
            <w:tcBorders>
              <w:top w:val="single" w:color="000000" w:sz="4" w:space="0"/>
              <w:left w:val="nil"/>
              <w:bottom w:val="single" w:color="000000" w:sz="4" w:space="0"/>
              <w:right w:val="single" w:color="000000" w:sz="4" w:space="0"/>
            </w:tcBorders>
            <w:vAlign w:val="center"/>
          </w:tcPr>
          <w:p w14:paraId="523FA4AD">
            <w:pPr>
              <w:spacing w:line="360" w:lineRule="auto"/>
              <w:jc w:val="center"/>
              <w:rPr>
                <w:rFonts w:hint="eastAsia" w:ascii="宋体" w:hAnsi="宋体" w:eastAsia="宋体" w:cs="宋体"/>
                <w:color w:val="auto"/>
                <w:sz w:val="24"/>
                <w:szCs w:val="24"/>
                <w:highlight w:val="none"/>
              </w:rPr>
            </w:pPr>
          </w:p>
        </w:tc>
        <w:tc>
          <w:tcPr>
            <w:tcW w:w="2509" w:type="dxa"/>
            <w:tcBorders>
              <w:top w:val="single" w:color="000000" w:sz="4" w:space="0"/>
              <w:left w:val="nil"/>
              <w:bottom w:val="single" w:color="000000" w:sz="4" w:space="0"/>
              <w:right w:val="single" w:color="000000" w:sz="4" w:space="0"/>
            </w:tcBorders>
            <w:vAlign w:val="center"/>
          </w:tcPr>
          <w:p w14:paraId="3EA97BAF">
            <w:pPr>
              <w:spacing w:line="360" w:lineRule="auto"/>
              <w:jc w:val="center"/>
              <w:rPr>
                <w:rFonts w:hint="eastAsia" w:ascii="宋体" w:hAnsi="宋体" w:eastAsia="宋体" w:cs="宋体"/>
                <w:color w:val="auto"/>
                <w:sz w:val="24"/>
                <w:szCs w:val="24"/>
                <w:highlight w:val="none"/>
              </w:rPr>
            </w:pPr>
          </w:p>
        </w:tc>
        <w:tc>
          <w:tcPr>
            <w:tcW w:w="1080" w:type="dxa"/>
            <w:tcBorders>
              <w:top w:val="single" w:color="000000" w:sz="4" w:space="0"/>
              <w:left w:val="nil"/>
              <w:bottom w:val="single" w:color="000000" w:sz="4" w:space="0"/>
              <w:right w:val="single" w:color="000000" w:sz="4" w:space="0"/>
            </w:tcBorders>
            <w:vAlign w:val="center"/>
          </w:tcPr>
          <w:p w14:paraId="14B8423A">
            <w:pPr>
              <w:spacing w:line="360" w:lineRule="auto"/>
              <w:jc w:val="center"/>
              <w:rPr>
                <w:rFonts w:hint="eastAsia" w:ascii="宋体" w:hAnsi="宋体" w:eastAsia="宋体" w:cs="宋体"/>
                <w:color w:val="auto"/>
                <w:sz w:val="24"/>
                <w:szCs w:val="24"/>
                <w:highlight w:val="none"/>
              </w:rPr>
            </w:pPr>
          </w:p>
        </w:tc>
      </w:tr>
      <w:tr w14:paraId="50E54DFB">
        <w:tblPrEx>
          <w:tblCellMar>
            <w:top w:w="0" w:type="dxa"/>
            <w:left w:w="0" w:type="dxa"/>
            <w:bottom w:w="0" w:type="dxa"/>
            <w:right w:w="0" w:type="dxa"/>
          </w:tblCellMar>
        </w:tblPrEx>
        <w:trPr>
          <w:trHeight w:val="454" w:hRule="atLeast"/>
          <w:jc w:val="center"/>
        </w:trPr>
        <w:tc>
          <w:tcPr>
            <w:tcW w:w="542" w:type="dxa"/>
            <w:tcBorders>
              <w:top w:val="single" w:color="000000" w:sz="4" w:space="0"/>
              <w:left w:val="single" w:color="000000" w:sz="4" w:space="0"/>
              <w:bottom w:val="single" w:color="000000" w:sz="4" w:space="0"/>
              <w:right w:val="single" w:color="000000" w:sz="4" w:space="0"/>
            </w:tcBorders>
            <w:vAlign w:val="center"/>
          </w:tcPr>
          <w:p w14:paraId="356D87E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028" w:type="dxa"/>
            <w:tcBorders>
              <w:top w:val="single" w:color="000000" w:sz="4" w:space="0"/>
              <w:left w:val="nil"/>
              <w:bottom w:val="single" w:color="000000" w:sz="4" w:space="0"/>
              <w:right w:val="single" w:color="000000" w:sz="4" w:space="0"/>
            </w:tcBorders>
            <w:vAlign w:val="center"/>
          </w:tcPr>
          <w:p w14:paraId="33B9F305">
            <w:pPr>
              <w:spacing w:line="360" w:lineRule="auto"/>
              <w:jc w:val="center"/>
              <w:rPr>
                <w:rFonts w:hint="eastAsia" w:ascii="宋体" w:hAnsi="宋体" w:eastAsia="宋体" w:cs="宋体"/>
                <w:color w:val="auto"/>
                <w:sz w:val="24"/>
                <w:szCs w:val="24"/>
                <w:highlight w:val="none"/>
              </w:rPr>
            </w:pPr>
          </w:p>
        </w:tc>
        <w:tc>
          <w:tcPr>
            <w:tcW w:w="839" w:type="dxa"/>
            <w:tcBorders>
              <w:top w:val="single" w:color="000000" w:sz="4" w:space="0"/>
              <w:left w:val="nil"/>
              <w:bottom w:val="single" w:color="000000" w:sz="4" w:space="0"/>
              <w:right w:val="single" w:color="000000" w:sz="4" w:space="0"/>
            </w:tcBorders>
            <w:vAlign w:val="center"/>
          </w:tcPr>
          <w:p w14:paraId="25C594E7">
            <w:pPr>
              <w:spacing w:line="360" w:lineRule="auto"/>
              <w:jc w:val="center"/>
              <w:rPr>
                <w:rFonts w:hint="eastAsia" w:ascii="宋体" w:hAnsi="宋体" w:eastAsia="宋体" w:cs="宋体"/>
                <w:color w:val="auto"/>
                <w:sz w:val="24"/>
                <w:szCs w:val="24"/>
                <w:highlight w:val="none"/>
              </w:rPr>
            </w:pPr>
          </w:p>
        </w:tc>
        <w:tc>
          <w:tcPr>
            <w:tcW w:w="1068" w:type="dxa"/>
            <w:tcBorders>
              <w:top w:val="single" w:color="000000" w:sz="4" w:space="0"/>
              <w:left w:val="nil"/>
              <w:bottom w:val="single" w:color="000000" w:sz="4" w:space="0"/>
              <w:right w:val="single" w:color="000000" w:sz="4" w:space="0"/>
            </w:tcBorders>
            <w:vAlign w:val="center"/>
          </w:tcPr>
          <w:p w14:paraId="37C8E769">
            <w:pPr>
              <w:spacing w:line="360" w:lineRule="auto"/>
              <w:jc w:val="center"/>
              <w:rPr>
                <w:rFonts w:hint="eastAsia" w:ascii="宋体" w:hAnsi="宋体" w:eastAsia="宋体" w:cs="宋体"/>
                <w:color w:val="auto"/>
                <w:sz w:val="24"/>
                <w:szCs w:val="24"/>
                <w:highlight w:val="none"/>
              </w:rPr>
            </w:pPr>
          </w:p>
        </w:tc>
        <w:tc>
          <w:tcPr>
            <w:tcW w:w="2509" w:type="dxa"/>
            <w:tcBorders>
              <w:top w:val="single" w:color="000000" w:sz="4" w:space="0"/>
              <w:left w:val="nil"/>
              <w:bottom w:val="single" w:color="000000" w:sz="4" w:space="0"/>
              <w:right w:val="single" w:color="000000" w:sz="4" w:space="0"/>
            </w:tcBorders>
            <w:vAlign w:val="center"/>
          </w:tcPr>
          <w:p w14:paraId="4F59FC38">
            <w:pPr>
              <w:spacing w:line="360" w:lineRule="auto"/>
              <w:jc w:val="center"/>
              <w:rPr>
                <w:rFonts w:hint="eastAsia" w:ascii="宋体" w:hAnsi="宋体" w:eastAsia="宋体" w:cs="宋体"/>
                <w:color w:val="auto"/>
                <w:sz w:val="24"/>
                <w:szCs w:val="24"/>
                <w:highlight w:val="none"/>
              </w:rPr>
            </w:pPr>
          </w:p>
        </w:tc>
        <w:tc>
          <w:tcPr>
            <w:tcW w:w="1080" w:type="dxa"/>
            <w:tcBorders>
              <w:top w:val="single" w:color="000000" w:sz="4" w:space="0"/>
              <w:left w:val="nil"/>
              <w:bottom w:val="single" w:color="000000" w:sz="4" w:space="0"/>
              <w:right w:val="single" w:color="000000" w:sz="4" w:space="0"/>
            </w:tcBorders>
            <w:vAlign w:val="center"/>
          </w:tcPr>
          <w:p w14:paraId="66E52E06">
            <w:pPr>
              <w:spacing w:line="360" w:lineRule="auto"/>
              <w:jc w:val="center"/>
              <w:rPr>
                <w:rFonts w:hint="eastAsia" w:ascii="宋体" w:hAnsi="宋体" w:eastAsia="宋体" w:cs="宋体"/>
                <w:color w:val="auto"/>
                <w:sz w:val="24"/>
                <w:szCs w:val="24"/>
                <w:highlight w:val="none"/>
              </w:rPr>
            </w:pPr>
          </w:p>
        </w:tc>
      </w:tr>
      <w:tr w14:paraId="7FFEE481">
        <w:tblPrEx>
          <w:tblCellMar>
            <w:top w:w="0" w:type="dxa"/>
            <w:left w:w="0" w:type="dxa"/>
            <w:bottom w:w="0" w:type="dxa"/>
            <w:right w:w="0" w:type="dxa"/>
          </w:tblCellMar>
        </w:tblPrEx>
        <w:trPr>
          <w:trHeight w:val="454" w:hRule="atLeast"/>
          <w:jc w:val="center"/>
        </w:trPr>
        <w:tc>
          <w:tcPr>
            <w:tcW w:w="542" w:type="dxa"/>
            <w:tcBorders>
              <w:top w:val="single" w:color="000000" w:sz="4" w:space="0"/>
              <w:left w:val="single" w:color="000000" w:sz="4" w:space="0"/>
              <w:bottom w:val="single" w:color="000000" w:sz="4" w:space="0"/>
              <w:right w:val="single" w:color="000000" w:sz="4" w:space="0"/>
            </w:tcBorders>
            <w:vAlign w:val="center"/>
          </w:tcPr>
          <w:p w14:paraId="443D88D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028" w:type="dxa"/>
            <w:tcBorders>
              <w:top w:val="single" w:color="000000" w:sz="4" w:space="0"/>
              <w:left w:val="nil"/>
              <w:bottom w:val="single" w:color="000000" w:sz="4" w:space="0"/>
              <w:right w:val="single" w:color="000000" w:sz="4" w:space="0"/>
            </w:tcBorders>
            <w:vAlign w:val="center"/>
          </w:tcPr>
          <w:p w14:paraId="73E3B209">
            <w:pPr>
              <w:spacing w:line="360" w:lineRule="auto"/>
              <w:jc w:val="center"/>
              <w:rPr>
                <w:rFonts w:hint="eastAsia" w:ascii="宋体" w:hAnsi="宋体" w:eastAsia="宋体" w:cs="宋体"/>
                <w:color w:val="auto"/>
                <w:sz w:val="24"/>
                <w:szCs w:val="24"/>
                <w:highlight w:val="none"/>
              </w:rPr>
            </w:pPr>
          </w:p>
        </w:tc>
        <w:tc>
          <w:tcPr>
            <w:tcW w:w="839" w:type="dxa"/>
            <w:tcBorders>
              <w:top w:val="single" w:color="000000" w:sz="4" w:space="0"/>
              <w:left w:val="nil"/>
              <w:bottom w:val="single" w:color="000000" w:sz="4" w:space="0"/>
              <w:right w:val="single" w:color="000000" w:sz="4" w:space="0"/>
            </w:tcBorders>
            <w:vAlign w:val="center"/>
          </w:tcPr>
          <w:p w14:paraId="386DECBA">
            <w:pPr>
              <w:spacing w:line="360" w:lineRule="auto"/>
              <w:jc w:val="center"/>
              <w:rPr>
                <w:rFonts w:hint="eastAsia" w:ascii="宋体" w:hAnsi="宋体" w:eastAsia="宋体" w:cs="宋体"/>
                <w:color w:val="auto"/>
                <w:sz w:val="24"/>
                <w:szCs w:val="24"/>
                <w:highlight w:val="none"/>
              </w:rPr>
            </w:pPr>
          </w:p>
        </w:tc>
        <w:tc>
          <w:tcPr>
            <w:tcW w:w="1068" w:type="dxa"/>
            <w:tcBorders>
              <w:top w:val="single" w:color="000000" w:sz="4" w:space="0"/>
              <w:left w:val="nil"/>
              <w:bottom w:val="single" w:color="000000" w:sz="4" w:space="0"/>
              <w:right w:val="single" w:color="000000" w:sz="4" w:space="0"/>
            </w:tcBorders>
            <w:vAlign w:val="center"/>
          </w:tcPr>
          <w:p w14:paraId="608214CC">
            <w:pPr>
              <w:spacing w:line="360" w:lineRule="auto"/>
              <w:jc w:val="center"/>
              <w:rPr>
                <w:rFonts w:hint="eastAsia" w:ascii="宋体" w:hAnsi="宋体" w:eastAsia="宋体" w:cs="宋体"/>
                <w:color w:val="auto"/>
                <w:sz w:val="24"/>
                <w:szCs w:val="24"/>
                <w:highlight w:val="none"/>
              </w:rPr>
            </w:pPr>
          </w:p>
        </w:tc>
        <w:tc>
          <w:tcPr>
            <w:tcW w:w="2509" w:type="dxa"/>
            <w:tcBorders>
              <w:top w:val="single" w:color="000000" w:sz="4" w:space="0"/>
              <w:left w:val="nil"/>
              <w:bottom w:val="single" w:color="000000" w:sz="4" w:space="0"/>
              <w:right w:val="single" w:color="000000" w:sz="4" w:space="0"/>
            </w:tcBorders>
            <w:vAlign w:val="center"/>
          </w:tcPr>
          <w:p w14:paraId="1694C35A">
            <w:pPr>
              <w:spacing w:line="360" w:lineRule="auto"/>
              <w:jc w:val="center"/>
              <w:rPr>
                <w:rFonts w:hint="eastAsia" w:ascii="宋体" w:hAnsi="宋体" w:eastAsia="宋体" w:cs="宋体"/>
                <w:color w:val="auto"/>
                <w:sz w:val="24"/>
                <w:szCs w:val="24"/>
                <w:highlight w:val="none"/>
              </w:rPr>
            </w:pPr>
          </w:p>
        </w:tc>
        <w:tc>
          <w:tcPr>
            <w:tcW w:w="1080" w:type="dxa"/>
            <w:tcBorders>
              <w:top w:val="single" w:color="000000" w:sz="4" w:space="0"/>
              <w:left w:val="nil"/>
              <w:bottom w:val="single" w:color="000000" w:sz="4" w:space="0"/>
              <w:right w:val="single" w:color="000000" w:sz="4" w:space="0"/>
            </w:tcBorders>
            <w:vAlign w:val="center"/>
          </w:tcPr>
          <w:p w14:paraId="6EFF4125">
            <w:pPr>
              <w:spacing w:line="360" w:lineRule="auto"/>
              <w:jc w:val="center"/>
              <w:rPr>
                <w:rFonts w:hint="eastAsia" w:ascii="宋体" w:hAnsi="宋体" w:eastAsia="宋体" w:cs="宋体"/>
                <w:color w:val="auto"/>
                <w:sz w:val="24"/>
                <w:szCs w:val="24"/>
                <w:highlight w:val="none"/>
              </w:rPr>
            </w:pPr>
          </w:p>
        </w:tc>
      </w:tr>
      <w:tr w14:paraId="77A72FF5">
        <w:tblPrEx>
          <w:tblCellMar>
            <w:top w:w="0" w:type="dxa"/>
            <w:left w:w="0" w:type="dxa"/>
            <w:bottom w:w="0" w:type="dxa"/>
            <w:right w:w="0" w:type="dxa"/>
          </w:tblCellMar>
        </w:tblPrEx>
        <w:trPr>
          <w:trHeight w:val="454" w:hRule="atLeast"/>
          <w:jc w:val="center"/>
        </w:trPr>
        <w:tc>
          <w:tcPr>
            <w:tcW w:w="542" w:type="dxa"/>
            <w:tcBorders>
              <w:top w:val="single" w:color="000000" w:sz="4" w:space="0"/>
              <w:left w:val="single" w:color="000000" w:sz="4" w:space="0"/>
              <w:bottom w:val="single" w:color="000000" w:sz="4" w:space="0"/>
              <w:right w:val="single" w:color="000000" w:sz="4" w:space="0"/>
            </w:tcBorders>
            <w:vAlign w:val="center"/>
          </w:tcPr>
          <w:p w14:paraId="68FF966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028" w:type="dxa"/>
            <w:tcBorders>
              <w:top w:val="single" w:color="000000" w:sz="4" w:space="0"/>
              <w:left w:val="nil"/>
              <w:bottom w:val="single" w:color="000000" w:sz="4" w:space="0"/>
              <w:right w:val="single" w:color="000000" w:sz="4" w:space="0"/>
            </w:tcBorders>
            <w:vAlign w:val="center"/>
          </w:tcPr>
          <w:p w14:paraId="51E75A7D">
            <w:pPr>
              <w:spacing w:line="360" w:lineRule="auto"/>
              <w:jc w:val="center"/>
              <w:rPr>
                <w:rFonts w:hint="eastAsia" w:ascii="宋体" w:hAnsi="宋体" w:eastAsia="宋体" w:cs="宋体"/>
                <w:color w:val="auto"/>
                <w:sz w:val="24"/>
                <w:szCs w:val="24"/>
                <w:highlight w:val="none"/>
              </w:rPr>
            </w:pPr>
          </w:p>
        </w:tc>
        <w:tc>
          <w:tcPr>
            <w:tcW w:w="839" w:type="dxa"/>
            <w:tcBorders>
              <w:top w:val="single" w:color="000000" w:sz="4" w:space="0"/>
              <w:left w:val="nil"/>
              <w:bottom w:val="single" w:color="000000" w:sz="4" w:space="0"/>
              <w:right w:val="single" w:color="000000" w:sz="4" w:space="0"/>
            </w:tcBorders>
            <w:vAlign w:val="center"/>
          </w:tcPr>
          <w:p w14:paraId="31EA0667">
            <w:pPr>
              <w:spacing w:line="360" w:lineRule="auto"/>
              <w:jc w:val="center"/>
              <w:rPr>
                <w:rFonts w:hint="eastAsia" w:ascii="宋体" w:hAnsi="宋体" w:eastAsia="宋体" w:cs="宋体"/>
                <w:color w:val="auto"/>
                <w:sz w:val="24"/>
                <w:szCs w:val="24"/>
                <w:highlight w:val="none"/>
              </w:rPr>
            </w:pPr>
          </w:p>
        </w:tc>
        <w:tc>
          <w:tcPr>
            <w:tcW w:w="1068" w:type="dxa"/>
            <w:tcBorders>
              <w:top w:val="single" w:color="000000" w:sz="4" w:space="0"/>
              <w:left w:val="nil"/>
              <w:bottom w:val="single" w:color="000000" w:sz="4" w:space="0"/>
              <w:right w:val="single" w:color="000000" w:sz="4" w:space="0"/>
            </w:tcBorders>
            <w:vAlign w:val="center"/>
          </w:tcPr>
          <w:p w14:paraId="1F1165F0">
            <w:pPr>
              <w:spacing w:line="360" w:lineRule="auto"/>
              <w:jc w:val="center"/>
              <w:rPr>
                <w:rFonts w:hint="eastAsia" w:ascii="宋体" w:hAnsi="宋体" w:eastAsia="宋体" w:cs="宋体"/>
                <w:color w:val="auto"/>
                <w:sz w:val="24"/>
                <w:szCs w:val="24"/>
                <w:highlight w:val="none"/>
              </w:rPr>
            </w:pPr>
          </w:p>
        </w:tc>
        <w:tc>
          <w:tcPr>
            <w:tcW w:w="2509" w:type="dxa"/>
            <w:tcBorders>
              <w:top w:val="single" w:color="000000" w:sz="4" w:space="0"/>
              <w:left w:val="nil"/>
              <w:bottom w:val="single" w:color="000000" w:sz="4" w:space="0"/>
              <w:right w:val="single" w:color="000000" w:sz="4" w:space="0"/>
            </w:tcBorders>
            <w:vAlign w:val="center"/>
          </w:tcPr>
          <w:p w14:paraId="1067CC52">
            <w:pPr>
              <w:spacing w:line="360" w:lineRule="auto"/>
              <w:jc w:val="center"/>
              <w:rPr>
                <w:rFonts w:hint="eastAsia" w:ascii="宋体" w:hAnsi="宋体" w:eastAsia="宋体" w:cs="宋体"/>
                <w:color w:val="auto"/>
                <w:sz w:val="24"/>
                <w:szCs w:val="24"/>
                <w:highlight w:val="none"/>
              </w:rPr>
            </w:pPr>
          </w:p>
        </w:tc>
        <w:tc>
          <w:tcPr>
            <w:tcW w:w="1080" w:type="dxa"/>
            <w:tcBorders>
              <w:top w:val="single" w:color="000000" w:sz="4" w:space="0"/>
              <w:left w:val="nil"/>
              <w:bottom w:val="single" w:color="000000" w:sz="4" w:space="0"/>
              <w:right w:val="single" w:color="000000" w:sz="4" w:space="0"/>
            </w:tcBorders>
            <w:vAlign w:val="center"/>
          </w:tcPr>
          <w:p w14:paraId="021030D2">
            <w:pPr>
              <w:spacing w:line="360" w:lineRule="auto"/>
              <w:jc w:val="center"/>
              <w:rPr>
                <w:rFonts w:hint="eastAsia" w:ascii="宋体" w:hAnsi="宋体" w:eastAsia="宋体" w:cs="宋体"/>
                <w:color w:val="auto"/>
                <w:sz w:val="24"/>
                <w:szCs w:val="24"/>
                <w:highlight w:val="none"/>
              </w:rPr>
            </w:pPr>
          </w:p>
        </w:tc>
      </w:tr>
      <w:tr w14:paraId="0D501DEE">
        <w:tblPrEx>
          <w:tblCellMar>
            <w:top w:w="0" w:type="dxa"/>
            <w:left w:w="0" w:type="dxa"/>
            <w:bottom w:w="0" w:type="dxa"/>
            <w:right w:w="0" w:type="dxa"/>
          </w:tblCellMar>
        </w:tblPrEx>
        <w:trPr>
          <w:trHeight w:val="454" w:hRule="atLeast"/>
          <w:jc w:val="center"/>
        </w:trPr>
        <w:tc>
          <w:tcPr>
            <w:tcW w:w="542" w:type="dxa"/>
            <w:tcBorders>
              <w:top w:val="single" w:color="000000" w:sz="4" w:space="0"/>
              <w:left w:val="single" w:color="000000" w:sz="4" w:space="0"/>
              <w:bottom w:val="single" w:color="000000" w:sz="4" w:space="0"/>
              <w:right w:val="single" w:color="000000" w:sz="4" w:space="0"/>
            </w:tcBorders>
            <w:vAlign w:val="center"/>
          </w:tcPr>
          <w:p w14:paraId="244F3C0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028" w:type="dxa"/>
            <w:tcBorders>
              <w:top w:val="single" w:color="000000" w:sz="4" w:space="0"/>
              <w:left w:val="nil"/>
              <w:bottom w:val="single" w:color="000000" w:sz="4" w:space="0"/>
              <w:right w:val="single" w:color="000000" w:sz="4" w:space="0"/>
            </w:tcBorders>
            <w:vAlign w:val="center"/>
          </w:tcPr>
          <w:p w14:paraId="0E83EC44">
            <w:pPr>
              <w:spacing w:line="360" w:lineRule="auto"/>
              <w:jc w:val="center"/>
              <w:rPr>
                <w:rFonts w:hint="eastAsia" w:ascii="宋体" w:hAnsi="宋体" w:eastAsia="宋体" w:cs="宋体"/>
                <w:color w:val="auto"/>
                <w:sz w:val="24"/>
                <w:szCs w:val="24"/>
                <w:highlight w:val="none"/>
              </w:rPr>
            </w:pPr>
          </w:p>
        </w:tc>
        <w:tc>
          <w:tcPr>
            <w:tcW w:w="839" w:type="dxa"/>
            <w:tcBorders>
              <w:top w:val="single" w:color="000000" w:sz="4" w:space="0"/>
              <w:left w:val="nil"/>
              <w:bottom w:val="single" w:color="000000" w:sz="4" w:space="0"/>
              <w:right w:val="single" w:color="000000" w:sz="4" w:space="0"/>
            </w:tcBorders>
            <w:vAlign w:val="center"/>
          </w:tcPr>
          <w:p w14:paraId="39C5D60B">
            <w:pPr>
              <w:spacing w:line="360" w:lineRule="auto"/>
              <w:jc w:val="center"/>
              <w:rPr>
                <w:rFonts w:hint="eastAsia" w:ascii="宋体" w:hAnsi="宋体" w:eastAsia="宋体" w:cs="宋体"/>
                <w:color w:val="auto"/>
                <w:sz w:val="24"/>
                <w:szCs w:val="24"/>
                <w:highlight w:val="none"/>
              </w:rPr>
            </w:pPr>
          </w:p>
        </w:tc>
        <w:tc>
          <w:tcPr>
            <w:tcW w:w="1068" w:type="dxa"/>
            <w:tcBorders>
              <w:top w:val="single" w:color="000000" w:sz="4" w:space="0"/>
              <w:left w:val="nil"/>
              <w:bottom w:val="single" w:color="000000" w:sz="4" w:space="0"/>
              <w:right w:val="single" w:color="000000" w:sz="4" w:space="0"/>
            </w:tcBorders>
            <w:vAlign w:val="center"/>
          </w:tcPr>
          <w:p w14:paraId="771575C0">
            <w:pPr>
              <w:spacing w:line="360" w:lineRule="auto"/>
              <w:jc w:val="center"/>
              <w:rPr>
                <w:rFonts w:hint="eastAsia" w:ascii="宋体" w:hAnsi="宋体" w:eastAsia="宋体" w:cs="宋体"/>
                <w:color w:val="auto"/>
                <w:sz w:val="24"/>
                <w:szCs w:val="24"/>
                <w:highlight w:val="none"/>
              </w:rPr>
            </w:pPr>
          </w:p>
        </w:tc>
        <w:tc>
          <w:tcPr>
            <w:tcW w:w="2509" w:type="dxa"/>
            <w:tcBorders>
              <w:top w:val="single" w:color="000000" w:sz="4" w:space="0"/>
              <w:left w:val="nil"/>
              <w:bottom w:val="single" w:color="000000" w:sz="4" w:space="0"/>
              <w:right w:val="single" w:color="000000" w:sz="4" w:space="0"/>
            </w:tcBorders>
            <w:vAlign w:val="center"/>
          </w:tcPr>
          <w:p w14:paraId="34866F95">
            <w:pPr>
              <w:spacing w:line="360" w:lineRule="auto"/>
              <w:jc w:val="center"/>
              <w:rPr>
                <w:rFonts w:hint="eastAsia" w:ascii="宋体" w:hAnsi="宋体" w:eastAsia="宋体" w:cs="宋体"/>
                <w:color w:val="auto"/>
                <w:sz w:val="24"/>
                <w:szCs w:val="24"/>
                <w:highlight w:val="none"/>
              </w:rPr>
            </w:pPr>
          </w:p>
        </w:tc>
        <w:tc>
          <w:tcPr>
            <w:tcW w:w="1080" w:type="dxa"/>
            <w:tcBorders>
              <w:top w:val="single" w:color="000000" w:sz="4" w:space="0"/>
              <w:left w:val="nil"/>
              <w:bottom w:val="single" w:color="000000" w:sz="4" w:space="0"/>
              <w:right w:val="single" w:color="000000" w:sz="4" w:space="0"/>
            </w:tcBorders>
            <w:vAlign w:val="center"/>
          </w:tcPr>
          <w:p w14:paraId="79DA2707">
            <w:pPr>
              <w:spacing w:line="360" w:lineRule="auto"/>
              <w:jc w:val="center"/>
              <w:rPr>
                <w:rFonts w:hint="eastAsia" w:ascii="宋体" w:hAnsi="宋体" w:eastAsia="宋体" w:cs="宋体"/>
                <w:color w:val="auto"/>
                <w:sz w:val="24"/>
                <w:szCs w:val="24"/>
                <w:highlight w:val="none"/>
              </w:rPr>
            </w:pPr>
          </w:p>
        </w:tc>
      </w:tr>
    </w:tbl>
    <w:p w14:paraId="3C7F7D59">
      <w:pPr>
        <w:pStyle w:val="343"/>
        <w:ind w:firstLine="480"/>
        <w:rPr>
          <w:rFonts w:hint="eastAsia" w:ascii="宋体" w:hAnsi="宋体" w:eastAsia="宋体" w:cs="宋体"/>
          <w:color w:val="auto"/>
          <w:szCs w:val="24"/>
          <w:highlight w:val="none"/>
        </w:rPr>
      </w:pPr>
    </w:p>
    <w:p w14:paraId="321C79CA">
      <w:pPr>
        <w:pStyle w:val="343"/>
        <w:ind w:firstLine="480"/>
        <w:rPr>
          <w:rFonts w:hint="eastAsia" w:ascii="宋体" w:hAnsi="宋体" w:eastAsia="宋体" w:cs="宋体"/>
          <w:color w:val="auto"/>
          <w:highlight w:val="none"/>
        </w:rPr>
      </w:pPr>
      <w:r>
        <w:rPr>
          <w:rFonts w:hint="eastAsia" w:ascii="宋体" w:hAnsi="宋体" w:eastAsia="宋体" w:cs="宋体"/>
          <w:color w:val="auto"/>
          <w:szCs w:val="24"/>
          <w:highlight w:val="none"/>
        </w:rPr>
        <w:t>注：后附相关证明材料详见采购文件要求。</w:t>
      </w:r>
    </w:p>
    <w:p w14:paraId="76BE30DC">
      <w:pPr>
        <w:spacing w:line="360" w:lineRule="auto"/>
        <w:rPr>
          <w:rFonts w:hint="eastAsia" w:ascii="宋体" w:hAnsi="宋体" w:eastAsia="宋体" w:cs="宋体"/>
          <w:color w:val="auto"/>
          <w:sz w:val="24"/>
          <w:szCs w:val="24"/>
          <w:highlight w:val="none"/>
        </w:rPr>
      </w:pPr>
    </w:p>
    <w:p w14:paraId="62F645CC">
      <w:pPr>
        <w:spacing w:line="360" w:lineRule="auto"/>
        <w:rPr>
          <w:rFonts w:hint="eastAsia" w:ascii="宋体" w:hAnsi="宋体" w:eastAsia="宋体" w:cs="宋体"/>
          <w:color w:val="auto"/>
          <w:sz w:val="24"/>
          <w:szCs w:val="24"/>
          <w:highlight w:val="none"/>
        </w:rPr>
      </w:pPr>
    </w:p>
    <w:p w14:paraId="691B7A19">
      <w:pPr>
        <w:spacing w:before="25" w:after="25" w:line="360" w:lineRule="auto"/>
        <w:ind w:firstLine="480"/>
        <w:rPr>
          <w:rFonts w:hint="eastAsia" w:ascii="宋体" w:hAnsi="宋体" w:eastAsia="宋体" w:cs="宋体"/>
          <w:color w:val="auto"/>
          <w:sz w:val="24"/>
          <w:szCs w:val="24"/>
          <w:highlight w:val="none"/>
        </w:rPr>
      </w:pPr>
    </w:p>
    <w:p w14:paraId="416D21F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0962274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0E9D84E2">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3FE5DD2">
      <w:pPr>
        <w:widowControl/>
        <w:spacing w:line="500" w:lineRule="exact"/>
        <w:ind w:firstLine="480"/>
        <w:jc w:val="center"/>
        <w:rPr>
          <w:rFonts w:hint="eastAsia" w:ascii="宋体" w:hAnsi="宋体" w:eastAsia="宋体" w:cs="宋体"/>
          <w:color w:val="auto"/>
          <w:sz w:val="32"/>
          <w:szCs w:val="32"/>
          <w:highlight w:val="none"/>
        </w:rPr>
      </w:pPr>
      <w:r>
        <w:rPr>
          <w:rFonts w:hint="eastAsia" w:ascii="宋体" w:hAnsi="宋体" w:eastAsia="宋体" w:cs="宋体"/>
          <w:iCs/>
          <w:color w:val="auto"/>
          <w:sz w:val="36"/>
          <w:szCs w:val="36"/>
          <w:highlight w:val="none"/>
        </w:rPr>
        <w:br w:type="page" w:clear="all"/>
      </w:r>
    </w:p>
    <w:p w14:paraId="4D7CDB66">
      <w:pPr>
        <w:keepNext w:val="0"/>
        <w:keepLines w:val="0"/>
        <w:pageBreakBefore w:val="0"/>
        <w:widowControl/>
        <w:kinsoku/>
        <w:wordWrap/>
        <w:overflowPunct/>
        <w:topLinePunct w:val="0"/>
        <w:autoSpaceDE/>
        <w:autoSpaceDN/>
        <w:bidi w:val="0"/>
        <w:adjustRightInd/>
        <w:snapToGrid/>
        <w:spacing w:before="50" w:after="50" w:line="480" w:lineRule="exact"/>
        <w:ind w:firstLine="1606" w:firstLineChars="500"/>
        <w:jc w:val="both"/>
        <w:textAlignment w:val="auto"/>
        <w:rPr>
          <w:rFonts w:hint="eastAsia" w:ascii="宋体" w:hAnsi="宋体" w:eastAsia="宋体" w:cs="宋体"/>
          <w:color w:val="auto"/>
          <w:sz w:val="24"/>
          <w:highlight w:val="none"/>
        </w:rPr>
      </w:pPr>
      <w:r>
        <w:rPr>
          <w:rFonts w:hint="eastAsia" w:ascii="宋体" w:hAnsi="宋体" w:eastAsia="宋体" w:cs="宋体"/>
          <w:b/>
          <w:color w:val="auto"/>
          <w:sz w:val="32"/>
          <w:szCs w:val="32"/>
          <w:highlight w:val="none"/>
        </w:rPr>
        <w:t>盐城市政府采购事前信用承诺书</w:t>
      </w:r>
      <w:r>
        <w:rPr>
          <w:rFonts w:hint="eastAsia" w:ascii="宋体" w:hAnsi="宋体" w:eastAsia="宋体" w:cs="宋体"/>
          <w:color w:val="auto"/>
          <w:sz w:val="32"/>
          <w:szCs w:val="32"/>
          <w:highlight w:val="none"/>
        </w:rPr>
        <w:t> </w:t>
      </w:r>
    </w:p>
    <w:p w14:paraId="3A7C2A93">
      <w:pPr>
        <w:keepNext w:val="0"/>
        <w:keepLines w:val="0"/>
        <w:pageBreakBefore w:val="0"/>
        <w:widowControl/>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211B9B9C">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责任工程师、技术负责人、从业资质和资格、业绩、财务状况、信誉等所有资料，均合法、真实、准确、有效，无任何伪造、修改、虚假成份，并对所提供资料的真实性负责；</w:t>
      </w:r>
    </w:p>
    <w:p w14:paraId="65A29EC7">
      <w:pPr>
        <w:keepNext w:val="0"/>
        <w:keepLines w:val="0"/>
        <w:pageBreakBefore w:val="0"/>
        <w:widowControl/>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4E7A592">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4FE53CCF">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（四）严格遵守即时信息公示规定，及时维护和更新维护和更新盐城市政府采购网中与本单位相关的信息；</w:t>
      </w:r>
    </w:p>
    <w:p w14:paraId="21385DAA">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DF7F217">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1CCB4953">
      <w:pPr>
        <w:keepNext w:val="0"/>
        <w:keepLines w:val="0"/>
        <w:pageBreakBefore w:val="0"/>
        <w:widowControl/>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D461A2B">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6573F714">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法定代表人签名：</w:t>
      </w:r>
    </w:p>
    <w:p w14:paraId="6357417E">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单位名称（公章）：</w:t>
      </w:r>
    </w:p>
    <w:p w14:paraId="01906316">
      <w:pPr>
        <w:keepNext w:val="0"/>
        <w:keepLines w:val="0"/>
        <w:pageBreakBefore w:val="0"/>
        <w:widowControl/>
        <w:kinsoku/>
        <w:wordWrap/>
        <w:overflowPunct/>
        <w:topLinePunct w:val="0"/>
        <w:autoSpaceDE/>
        <w:autoSpaceDN/>
        <w:bidi w:val="0"/>
        <w:adjustRightInd/>
        <w:snapToGrid/>
        <w:spacing w:line="54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13362D58">
      <w:pPr>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16469C3">
      <w:pPr>
        <w:pStyle w:val="31"/>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533E7F6F">
      <w:pPr>
        <w:pStyle w:val="31"/>
        <w:spacing w:before="290"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534F2840">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EB25623">
      <w:pPr>
        <w:pStyle w:val="3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7A91018F">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7DC01F7">
      <w:pPr>
        <w:pStyle w:val="3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E5A48AC">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0C3C0029">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8A6B355">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2BE2698">
      <w:pPr>
        <w:pStyle w:val="3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6819457">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3CF97E2F">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15302F05">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2EFE815C">
      <w:pPr>
        <w:pStyle w:val="3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3D785AC7">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6DB5C81">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41B8F44D">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45819FAB">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323C1676">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51FC80A1">
      <w:pPr>
        <w:pStyle w:val="3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0247A332">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2CD8F67A">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7FE1D0A3">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5658162E">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4CAB8A1E">
      <w:pPr>
        <w:pStyle w:val="3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6F61971E">
      <w:pPr>
        <w:pStyle w:val="3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28B3572D">
      <w:pPr>
        <w:pStyle w:val="3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5D42424B">
      <w:pPr>
        <w:pStyle w:val="3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321C54CF">
      <w:pPr>
        <w:pStyle w:val="3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E99834D">
      <w:pPr>
        <w:pStyle w:val="3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0D2FB335">
      <w:pPr>
        <w:pStyle w:val="3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6EC99BA7">
      <w:pPr>
        <w:pStyle w:val="3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455C2287">
      <w:pPr>
        <w:pStyle w:val="257"/>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1E9FAFF6">
      <w:pPr>
        <w:pStyle w:val="257"/>
        <w:spacing w:beforeAutospacing="0" w:afterAutospacing="0" w:line="0" w:lineRule="atLeast"/>
        <w:ind w:firstLine="480"/>
        <w:rPr>
          <w:rFonts w:hint="eastAsia" w:ascii="宋体" w:hAnsi="宋体" w:eastAsia="宋体" w:cs="宋体"/>
          <w:color w:val="auto"/>
          <w:highlight w:val="none"/>
        </w:rPr>
      </w:pPr>
    </w:p>
    <w:p w14:paraId="7EEF2A60">
      <w:pPr>
        <w:pStyle w:val="257"/>
        <w:spacing w:beforeAutospacing="0" w:afterAutospacing="0" w:line="0" w:lineRule="atLeast"/>
        <w:ind w:firstLine="480"/>
        <w:rPr>
          <w:rFonts w:hint="eastAsia" w:ascii="宋体" w:hAnsi="宋体" w:eastAsia="宋体" w:cs="宋体"/>
          <w:color w:val="auto"/>
          <w:highlight w:val="none"/>
        </w:rPr>
      </w:pPr>
    </w:p>
    <w:p w14:paraId="34FEC960">
      <w:pPr>
        <w:pStyle w:val="257"/>
        <w:spacing w:beforeAutospacing="0" w:afterAutospacing="0" w:line="0" w:lineRule="atLeast"/>
        <w:ind w:firstLine="480"/>
        <w:rPr>
          <w:rFonts w:hint="eastAsia" w:ascii="宋体" w:hAnsi="宋体" w:eastAsia="宋体" w:cs="宋体"/>
          <w:color w:val="auto"/>
          <w:highlight w:val="none"/>
        </w:rPr>
      </w:pPr>
    </w:p>
    <w:p w14:paraId="7854632D">
      <w:pPr>
        <w:pStyle w:val="257"/>
        <w:spacing w:beforeAutospacing="0" w:afterAutospacing="0" w:line="0" w:lineRule="atLeast"/>
        <w:ind w:firstLine="480"/>
        <w:rPr>
          <w:rFonts w:hint="eastAsia" w:ascii="宋体" w:hAnsi="宋体" w:eastAsia="宋体" w:cs="宋体"/>
          <w:color w:val="auto"/>
          <w:highlight w:val="none"/>
        </w:rPr>
      </w:pPr>
    </w:p>
    <w:p w14:paraId="093327A6">
      <w:pPr>
        <w:pStyle w:val="257"/>
        <w:spacing w:beforeAutospacing="0" w:afterAutospacing="0" w:line="0" w:lineRule="atLeas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（全文结束）</w:t>
      </w:r>
    </w:p>
    <w:sectPr>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方正黑体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7F" w:usb3="00000000" w:csb0="203F01FF" w:csb1="DFFF0000"/>
  </w:font>
  <w:font w:name="方正小标宋_GBK">
    <w:altName w:val="微软雅黑"/>
    <w:panose1 w:val="03000509000000000000"/>
    <w:charset w:val="86"/>
    <w:family w:val="auto"/>
    <w:pitch w:val="default"/>
    <w:sig w:usb0="00000000" w:usb1="00000000" w:usb2="00000000" w:usb3="00000000" w:csb0="00040000" w:csb1="00000000"/>
  </w:font>
  <w:font w:name="Malgun Gothic">
    <w:panose1 w:val="020B0503020000020004"/>
    <w:charset w:val="81"/>
    <w:family w:val="auto"/>
    <w:pitch w:val="default"/>
    <w:sig w:usb0="9000002F" w:usb1="29D77CFB" w:usb2="00000012" w:usb3="00000000" w:csb0="00080001" w:csb1="00000000"/>
  </w:font>
  <w:font w:name="Helvetica">
    <w:altName w:val="Arial"/>
    <w:panose1 w:val="020B0604020202020204"/>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方正仿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404C6">
    <w:pPr>
      <w:ind w:right="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5FA6C65F">
                          <w:pPr>
                            <w:pStyle w:val="240"/>
                            <w:tabs>
                              <w:tab w:val="clear" w:pos="4153"/>
                              <w:tab w:val="clear" w:pos="8306"/>
                            </w:tabs>
                          </w:pPr>
                          <w:r>
                            <w:rPr>
                              <w:rFonts w:hint="eastAsia"/>
                            </w:rPr>
                            <w:t>59</w:t>
                          </w:r>
                        </w:p>
                        <w:p w14:paraId="07148E9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5FA6C65F">
                    <w:pPr>
                      <w:pStyle w:val="240"/>
                      <w:tabs>
                        <w:tab w:val="clear" w:pos="4153"/>
                        <w:tab w:val="clear" w:pos="8306"/>
                      </w:tabs>
                    </w:pPr>
                    <w:r>
                      <w:rPr>
                        <w:rFonts w:hint="eastAsia"/>
                      </w:rPr>
                      <w:t>59</w:t>
                    </w:r>
                  </w:p>
                  <w:p w14:paraId="07148E97"/>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547FB">
    <w:pPr>
      <w:pStyle w:val="2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E1202">
    <w:pPr>
      <w:ind w:right="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1B80E426">
                          <w:pPr>
                            <w:pStyle w:val="240"/>
                            <w:tabs>
                              <w:tab w:val="clear" w:pos="4153"/>
                              <w:tab w:val="clear" w:pos="8306"/>
                            </w:tabs>
                          </w:pPr>
                          <w:r>
                            <w:rPr>
                              <w:rFonts w:hint="eastAsia"/>
                            </w:rPr>
                            <w:t>59</w:t>
                          </w:r>
                        </w:p>
                        <w:p w14:paraId="7219ABD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1B80E426">
                    <w:pPr>
                      <w:pStyle w:val="240"/>
                      <w:tabs>
                        <w:tab w:val="clear" w:pos="4153"/>
                        <w:tab w:val="clear" w:pos="8306"/>
                      </w:tabs>
                    </w:pPr>
                    <w:r>
                      <w:rPr>
                        <w:rFonts w:hint="eastAsia"/>
                      </w:rPr>
                      <w:t>59</w:t>
                    </w:r>
                  </w:p>
                  <w:p w14:paraId="7219ABD4"/>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89104">
    <w:pPr>
      <w:pStyle w:val="24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0ED6C6">
                          <w:pPr>
                            <w:pStyle w:val="21"/>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TBYXsgBAACa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imN33OLALz++X37+vvz6Ruo6&#10;6zMEaDDtPmBiGt/6Ebdm8QM6M+1RRZu/SIhgHNU9X9WVYyIiP1rX63WFIYGx5YL47OF5iJDeSW9J&#10;NloacXxFVX76AGlKXVJyNefvtDFlhMb95UDM7GG596nHbKVxP86E9r47I58BJ99Sh4tOiXnvUNi8&#10;JIsRF2O/GMcQ9aEvW5TrQXhzTNhE6S1XmGDnwjiywm5er7wTj+8l6+GX2v4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kwWF7IAQAAmgMAAA4AAAAAAAAAAQAgAAAAHgEAAGRycy9lMm9Eb2Mu&#10;eG1sUEsFBgAAAAAGAAYAWQEAAFgFAAAAAA==&#10;">
              <v:fill on="f" focussize="0,0"/>
              <v:stroke on="f"/>
              <v:imagedata o:title=""/>
              <o:lock v:ext="edit" aspectratio="f"/>
              <v:textbox inset="0mm,0mm,0mm,0mm" style="mso-fit-shape-to-text:t;">
                <w:txbxContent>
                  <w:p w14:paraId="7A0ED6C6">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60106">
    <w:pPr>
      <w:ind w:right="360"/>
      <w:jc w:val="cente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AD0834">
                          <w:pPr>
                            <w:pStyle w:val="2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ZUURQyQEAAJoDAAAOAAAAAAAAAAEAIAAAAB4BAABkcnMvZTJvRG9j&#10;LnhtbFBLBQYAAAAABgAGAFkBAABZBQAAAAA=&#10;">
              <v:fill on="f" focussize="0,0"/>
              <v:stroke on="f"/>
              <v:imagedata o:title=""/>
              <o:lock v:ext="edit" aspectratio="f"/>
              <v:textbox inset="0mm,0mm,0mm,0mm" style="mso-fit-shape-to-text:t;">
                <w:txbxContent>
                  <w:p w14:paraId="3AAD0834">
                    <w:pPr>
                      <w:pStyle w:val="21"/>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627193F">
                          <w:pPr>
                            <w:pStyle w:val="240"/>
                            <w:tabs>
                              <w:tab w:val="clear" w:pos="4153"/>
                              <w:tab w:val="clear" w:pos="8306"/>
                            </w:tabs>
                          </w:pPr>
                          <w:r>
                            <w:rPr>
                              <w:rFonts w:hint="eastAsia"/>
                            </w:rPr>
                            <w:t>59</w:t>
                          </w:r>
                        </w:p>
                        <w:p w14:paraId="6B102B9B"/>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zSVju0AAAAAUBAAAPAAAAAAAA&#10;AAEAIAAAACIAAABkcnMvZG93bnJldi54bWxQSwECFAAUAAAACACHTuJAs1g9vOEBAAC+AwAADgAA&#10;AAAAAAABACAAAAAfAQAAZHJzL2Uyb0RvYy54bWxQSwUGAAAAAAYABgBZAQAAcgUAAAAA&#10;">
              <v:fill on="f" focussize="0,0"/>
              <v:stroke on="f" weight="0.5pt"/>
              <v:imagedata o:title=""/>
              <o:lock v:ext="edit" aspectratio="f"/>
              <v:textbox inset="0mm,0mm,0mm,0mm" style="mso-fit-shape-to-text:t;">
                <w:txbxContent>
                  <w:p w14:paraId="5627193F">
                    <w:pPr>
                      <w:pStyle w:val="240"/>
                      <w:tabs>
                        <w:tab w:val="clear" w:pos="4153"/>
                        <w:tab w:val="clear" w:pos="8306"/>
                      </w:tabs>
                    </w:pPr>
                    <w:r>
                      <w:rPr>
                        <w:rFonts w:hint="eastAsia"/>
                      </w:rPr>
                      <w:t>59</w:t>
                    </w:r>
                  </w:p>
                  <w:p w14:paraId="6B102B9B"/>
                </w:txbxContent>
              </v:textbox>
            </v:shape>
          </w:pict>
        </mc:Fallback>
      </mc:AlternateContent>
    </w:r>
    <w:r>
      <w:rPr>
        <w:rFonts w:hint="eastAsia"/>
        <w:lang w:val="en-US" w:eastAsia="zh-CN"/>
      </w:rPr>
      <w:t>1</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FF00D">
    <w:pPr>
      <w:pStyle w:val="24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847D9F">
                          <w:pPr>
                            <w:pStyle w:val="21"/>
                          </w:pPr>
                          <w:r>
                            <w:fldChar w:fldCharType="begin"/>
                          </w:r>
                          <w:r>
                            <w:instrText xml:space="preserve"> PAGE  \* MERGEFORMAT </w:instrText>
                          </w:r>
                          <w:r>
                            <w:fldChar w:fldCharType="separate"/>
                          </w:r>
                          <w:r>
                            <w:t>49</w:t>
                          </w:r>
                          <w:r>
                            <w:fldChar w:fldCharType="end"/>
                          </w:r>
                        </w:p>
                      </w:txbxContent>
                    </wps:txbx>
                    <wps:bodyPr wrap="none" lIns="0" tIns="0" rIns="0" bIns="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RU52PyQEAAJoDAAAOAAAAAAAAAAEAIAAAAB4BAABkcnMvZTJvRG9j&#10;LnhtbFBLBQYAAAAABgAGAFkBAABZBQAAAAA=&#10;">
              <v:fill on="f" focussize="0,0"/>
              <v:stroke on="f"/>
              <v:imagedata o:title=""/>
              <o:lock v:ext="edit" aspectratio="f"/>
              <v:textbox inset="0mm,0mm,0mm,0mm" style="mso-fit-shape-to-text:t;">
                <w:txbxContent>
                  <w:p w14:paraId="08847D9F">
                    <w:pPr>
                      <w:pStyle w:val="21"/>
                    </w:pPr>
                    <w:r>
                      <w:fldChar w:fldCharType="begin"/>
                    </w:r>
                    <w:r>
                      <w:instrText xml:space="preserve"> PAGE  \* MERGEFORMAT </w:instrText>
                    </w:r>
                    <w:r>
                      <w:fldChar w:fldCharType="separate"/>
                    </w:r>
                    <w:r>
                      <w:t>49</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8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48CCA13"/>
    <w:multiLevelType w:val="singleLevel"/>
    <w:tmpl w:val="E48CCA13"/>
    <w:lvl w:ilvl="0" w:tentative="0">
      <w:start w:val="5"/>
      <w:numFmt w:val="chineseCounting"/>
      <w:suff w:val="nothing"/>
      <w:lvlText w:val="%1、"/>
      <w:lvlJc w:val="left"/>
      <w:rPr>
        <w:rFonts w:hint="eastAsia"/>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0"/>
      <w:suff w:val="nothing"/>
      <w:lvlText w:val=""/>
      <w:lvlJc w:val="left"/>
      <w:pPr>
        <w:ind w:left="0" w:firstLine="0"/>
      </w:pPr>
      <w:rPr>
        <w:rFonts w:hint="eastAsia"/>
      </w:rPr>
    </w:lvl>
    <w:lvl w:ilvl="6" w:tentative="0">
      <w:start w:val="1"/>
      <w:numFmt w:val="decimal"/>
      <w:pStyle w:val="201"/>
      <w:suff w:val="nothing"/>
      <w:lvlText w:val=""/>
      <w:lvlJc w:val="left"/>
      <w:pPr>
        <w:ind w:left="0" w:firstLine="0"/>
      </w:pPr>
      <w:rPr>
        <w:rFonts w:hint="eastAsia"/>
      </w:rPr>
    </w:lvl>
    <w:lvl w:ilvl="7" w:tentative="0">
      <w:start w:val="1"/>
      <w:numFmt w:val="decimal"/>
      <w:pStyle w:val="202"/>
      <w:suff w:val="nothing"/>
      <w:lvlText w:val=""/>
      <w:lvlJc w:val="left"/>
      <w:pPr>
        <w:ind w:left="0" w:firstLine="0"/>
      </w:pPr>
      <w:rPr>
        <w:rFonts w:hint="eastAsia"/>
      </w:rPr>
    </w:lvl>
    <w:lvl w:ilvl="8" w:tentative="0">
      <w:start w:val="1"/>
      <w:numFmt w:val="decimal"/>
      <w:pStyle w:val="203"/>
      <w:suff w:val="nothing"/>
      <w:lvlText w:val=""/>
      <w:lvlJc w:val="left"/>
      <w:pPr>
        <w:ind w:left="0" w:firstLine="0"/>
      </w:pPr>
      <w:rPr>
        <w:rFonts w:hint="eastAsia"/>
      </w:rPr>
    </w:lvl>
  </w:abstractNum>
  <w:abstractNum w:abstractNumId="3">
    <w:nsid w:val="2D186C57"/>
    <w:multiLevelType w:val="singleLevel"/>
    <w:tmpl w:val="2D186C57"/>
    <w:lvl w:ilvl="0" w:tentative="0">
      <w:start w:val="7"/>
      <w:numFmt w:val="decimal"/>
      <w:lvlText w:val="(%1)"/>
      <w:lvlJc w:val="left"/>
      <w:pPr>
        <w:tabs>
          <w:tab w:val="left" w:pos="312"/>
        </w:tabs>
      </w:pPr>
    </w:lvl>
  </w:abstractNum>
  <w:abstractNum w:abstractNumId="4">
    <w:nsid w:val="3CABAC35"/>
    <w:multiLevelType w:val="singleLevel"/>
    <w:tmpl w:val="3CABAC35"/>
    <w:lvl w:ilvl="0" w:tentative="0">
      <w:start w:val="21"/>
      <w:numFmt w:val="decimal"/>
      <w:suff w:val="nothing"/>
      <w:lvlText w:val="%1、"/>
      <w:lvlJc w:val="left"/>
    </w:lvl>
  </w:abstractNum>
  <w:abstractNum w:abstractNumId="5">
    <w:nsid w:val="435D6185"/>
    <w:multiLevelType w:val="singleLevel"/>
    <w:tmpl w:val="435D6185"/>
    <w:lvl w:ilvl="0" w:tentative="0">
      <w:start w:val="6"/>
      <w:numFmt w:val="chineseCounting"/>
      <w:suff w:val="space"/>
      <w:lvlText w:val="第%1章"/>
      <w:lvlJc w:val="left"/>
      <w:rPr>
        <w:rFonts w:hint="eastAsia"/>
      </w:rPr>
    </w:lvl>
  </w:abstractNum>
  <w:abstractNum w:abstractNumId="6">
    <w:nsid w:val="59ADCABA"/>
    <w:multiLevelType w:val="multilevel"/>
    <w:tmpl w:val="59ADCABA"/>
    <w:lvl w:ilvl="0" w:tentative="0">
      <w:start w:val="1"/>
      <w:numFmt w:val="decimal"/>
      <w:pStyle w:val="29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0"/>
  </w:num>
  <w:num w:numId="3">
    <w:abstractNumId w:val="6"/>
  </w:num>
  <w:num w:numId="4">
    <w:abstractNumId w:val="1"/>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67288"/>
    <w:rsid w:val="0C0356B7"/>
    <w:rsid w:val="0CBE467B"/>
    <w:rsid w:val="10A11BCB"/>
    <w:rsid w:val="11E64011"/>
    <w:rsid w:val="16727E8C"/>
    <w:rsid w:val="1DCD7725"/>
    <w:rsid w:val="20A1735E"/>
    <w:rsid w:val="254B6B30"/>
    <w:rsid w:val="2C2844B8"/>
    <w:rsid w:val="32B37D44"/>
    <w:rsid w:val="41661423"/>
    <w:rsid w:val="440B31EE"/>
    <w:rsid w:val="44D81DA7"/>
    <w:rsid w:val="45D323FE"/>
    <w:rsid w:val="48382AE4"/>
    <w:rsid w:val="521F336E"/>
    <w:rsid w:val="5FB962D5"/>
    <w:rsid w:val="625269DC"/>
    <w:rsid w:val="63753ACD"/>
    <w:rsid w:val="660B42AA"/>
    <w:rsid w:val="671627B0"/>
    <w:rsid w:val="6C2B0662"/>
    <w:rsid w:val="73922C6D"/>
    <w:rsid w:val="75B007E8"/>
    <w:rsid w:val="76A74C81"/>
    <w:rsid w:val="78C074D3"/>
    <w:rsid w:val="7AEB754E"/>
    <w:rsid w:val="7BFC08F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41"/>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unhideWhenUsed/>
    <w:qFormat/>
    <w:uiPriority w:val="1"/>
  </w:style>
  <w:style w:type="table" w:default="1" w:styleId="38">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qFormat/>
    <w:uiPriority w:val="0"/>
    <w:rPr>
      <w:rFonts w:ascii="楷体_GB2312" w:hAnsi="Arial" w:eastAsia="楷体_GB2312"/>
      <w:sz w:val="28"/>
      <w:szCs w:val="28"/>
    </w:rPr>
  </w:style>
  <w:style w:type="paragraph" w:styleId="15">
    <w:name w:val="Body Text Indent"/>
    <w:basedOn w:val="2"/>
    <w:next w:val="1"/>
    <w:qFormat/>
    <w:uiPriority w:val="0"/>
    <w:pPr>
      <w:widowControl/>
      <w:spacing w:after="200" w:line="300" w:lineRule="atLeast"/>
      <w:ind w:firstLine="645"/>
      <w:jc w:val="left"/>
    </w:pPr>
    <w:rPr>
      <w:rFonts w:ascii="楷体_GB2312" w:eastAsia="楷体_GB2312"/>
      <w:kern w:val="0"/>
      <w:sz w:val="32"/>
      <w:szCs w:val="20"/>
    </w:rPr>
  </w:style>
  <w:style w:type="paragraph" w:styleId="16">
    <w:name w:val="Block Text"/>
    <w:basedOn w:val="1"/>
    <w:qFormat/>
    <w:uiPriority w:val="0"/>
    <w:pPr>
      <w:tabs>
        <w:tab w:val="left" w:pos="9000"/>
      </w:tabs>
      <w:jc w:val="left"/>
    </w:p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92"/>
    <w:unhideWhenUsed/>
    <w:qFormat/>
    <w:uiPriority w:val="99"/>
    <w:pPr>
      <w:spacing w:after="0" w:line="240" w:lineRule="auto"/>
    </w:pPr>
    <w:rPr>
      <w:sz w:val="20"/>
    </w:rPr>
  </w:style>
  <w:style w:type="paragraph" w:styleId="21">
    <w:name w:val="footer"/>
    <w:basedOn w:val="1"/>
    <w:link w:val="65"/>
    <w:unhideWhenUsed/>
    <w:qFormat/>
    <w:uiPriority w:val="99"/>
    <w:pPr>
      <w:tabs>
        <w:tab w:val="center" w:pos="7143"/>
        <w:tab w:val="right" w:pos="14287"/>
      </w:tabs>
      <w:spacing w:after="0" w:line="240" w:lineRule="auto"/>
    </w:pPr>
  </w:style>
  <w:style w:type="paragraph" w:styleId="22">
    <w:name w:val="header"/>
    <w:basedOn w:val="1"/>
    <w:link w:val="63"/>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8"/>
    <w:qFormat/>
    <w:uiPriority w:val="11"/>
    <w:pPr>
      <w:spacing w:before="200" w:after="200"/>
    </w:pPr>
    <w:rPr>
      <w:sz w:val="24"/>
      <w:szCs w:val="24"/>
    </w:rPr>
  </w:style>
  <w:style w:type="paragraph" w:styleId="26">
    <w:name w:val="footnote text"/>
    <w:basedOn w:val="1"/>
    <w:link w:val="191"/>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qFormat/>
    <w:uiPriority w:val="0"/>
    <w:pPr>
      <w:spacing w:beforeAutospacing="1" w:afterAutospacing="1"/>
      <w:jc w:val="left"/>
    </w:pPr>
    <w:rPr>
      <w:sz w:val="24"/>
    </w:rPr>
  </w:style>
  <w:style w:type="paragraph" w:styleId="32">
    <w:name w:val="Title"/>
    <w:basedOn w:val="1"/>
    <w:next w:val="1"/>
    <w:link w:val="57"/>
    <w:qFormat/>
    <w:uiPriority w:val="10"/>
    <w:pPr>
      <w:spacing w:before="300" w:after="200"/>
      <w:contextualSpacing/>
    </w:pPr>
    <w:rPr>
      <w:sz w:val="48"/>
      <w:szCs w:val="48"/>
    </w:rPr>
  </w:style>
  <w:style w:type="paragraph" w:styleId="33">
    <w:name w:val="Body Text First Indent 2"/>
    <w:basedOn w:val="15"/>
    <w:next w:val="34"/>
    <w:unhideWhenUsed/>
    <w:qFormat/>
    <w:uiPriority w:val="99"/>
    <w:pPr>
      <w:spacing w:line="360" w:lineRule="auto"/>
      <w:ind w:firstLine="200"/>
    </w:pPr>
    <w:rPr>
      <w:rFonts w:ascii="Calibri" w:hAnsi="Calibri" w:eastAsia="仿宋_GB2312" w:cs="Times New Roman"/>
      <w:sz w:val="28"/>
      <w:szCs w:val="24"/>
    </w:rPr>
  </w:style>
  <w:style w:type="paragraph" w:customStyle="1" w:styleId="34">
    <w:name w:val="样式 标题 3 + (中文) 黑体 小四 非加粗 段前: 7.8 磅 段后: 0 磅 行距: 固定值 20 磅_0"/>
    <w:basedOn w:val="35"/>
    <w:qFormat/>
    <w:uiPriority w:val="0"/>
    <w:pPr>
      <w:spacing w:before="0" w:after="0" w:line="400" w:lineRule="exact"/>
    </w:pPr>
    <w:rPr>
      <w:rFonts w:ascii="Times New Roman" w:hAnsi="Times New Roman" w:eastAsia="黑体" w:cs="宋体"/>
      <w:b w:val="0"/>
      <w:bCs w:val="0"/>
      <w:sz w:val="21"/>
      <w:szCs w:val="20"/>
    </w:rPr>
  </w:style>
  <w:style w:type="paragraph" w:customStyle="1" w:styleId="35">
    <w:name w:val="标题 3_0"/>
    <w:basedOn w:val="36"/>
    <w:next w:val="37"/>
    <w:qFormat/>
    <w:uiPriority w:val="0"/>
    <w:pPr>
      <w:keepNext/>
      <w:keepLines/>
      <w:spacing w:before="260" w:after="260" w:line="416" w:lineRule="auto"/>
      <w:outlineLvl w:val="2"/>
    </w:pPr>
    <w:rPr>
      <w:rFonts w:eastAsia="宋体"/>
      <w:b/>
      <w:bCs/>
      <w:sz w:val="32"/>
      <w:szCs w:val="32"/>
    </w:rPr>
  </w:style>
  <w:style w:type="paragraph" w:customStyle="1" w:styleId="36">
    <w:name w:val="正文_0"/>
    <w:next w:val="33"/>
    <w:qFormat/>
    <w:uiPriority w:val="0"/>
    <w:pPr>
      <w:widowControl w:val="0"/>
      <w:jc w:val="both"/>
    </w:pPr>
    <w:rPr>
      <w:rFonts w:ascii="Calibri" w:hAnsi="Calibri" w:eastAsia="仿宋_GB2312" w:cs="Times New Roman"/>
      <w:kern w:val="2"/>
      <w:sz w:val="21"/>
      <w:szCs w:val="22"/>
      <w:lang w:val="en-US" w:eastAsia="zh-CN" w:bidi="ar-SA"/>
    </w:rPr>
  </w:style>
  <w:style w:type="paragraph" w:customStyle="1" w:styleId="37">
    <w:name w:val="正文_1"/>
    <w:next w:val="33"/>
    <w:qFormat/>
    <w:uiPriority w:val="0"/>
    <w:pPr>
      <w:widowControl w:val="0"/>
      <w:jc w:val="both"/>
    </w:pPr>
    <w:rPr>
      <w:rFonts w:ascii="Calibri" w:hAnsi="Calibri" w:eastAsia="仿宋_GB2312" w:cs="Times New Roman"/>
      <w:kern w:val="2"/>
      <w:sz w:val="21"/>
      <w:szCs w:val="22"/>
      <w:lang w:val="en-US" w:eastAsia="zh-CN" w:bidi="ar-SA"/>
    </w:rPr>
  </w:style>
  <w:style w:type="table" w:styleId="3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Default"/>
    <w:qFormat/>
    <w:uiPriority w:val="99"/>
    <w:pPr>
      <w:widowControl w:val="0"/>
    </w:pPr>
    <w:rPr>
      <w:rFonts w:hint="default" w:ascii="Times New Roman" w:hAnsi="Times New Roman" w:eastAsia="宋体" w:cs="Times New Roman"/>
      <w:color w:val="000000"/>
      <w:sz w:val="24"/>
      <w:szCs w:val="24"/>
      <w:lang w:val="en-US" w:eastAsia="zh-CN" w:bidi="ar-SA"/>
    </w:rPr>
  </w:style>
  <w:style w:type="paragraph" w:customStyle="1" w:styleId="45">
    <w:name w:val="正文文本1"/>
    <w:basedOn w:val="1"/>
    <w:next w:val="1"/>
    <w:link w:val="224"/>
    <w:qFormat/>
    <w:uiPriority w:val="0"/>
    <w:rPr>
      <w:rFonts w:ascii="楷体_GB2312" w:hAnsi="Arial" w:eastAsia="楷体_GB2312" w:cs="Times New Roman"/>
      <w:sz w:val="28"/>
      <w:szCs w:val="28"/>
    </w:rPr>
  </w:style>
  <w:style w:type="character" w:customStyle="1" w:styleId="46">
    <w:name w:val="Heading 1 Char"/>
    <w:link w:val="2"/>
    <w:qFormat/>
    <w:uiPriority w:val="9"/>
    <w:rPr>
      <w:rFonts w:ascii="Arial" w:hAnsi="Arial" w:eastAsia="Arial" w:cs="Arial"/>
      <w:sz w:val="40"/>
      <w:szCs w:val="40"/>
    </w:rPr>
  </w:style>
  <w:style w:type="character" w:customStyle="1" w:styleId="47">
    <w:name w:val="Heading 2 Char"/>
    <w:link w:val="3"/>
    <w:qFormat/>
    <w:uiPriority w:val="9"/>
    <w:rPr>
      <w:rFonts w:ascii="Arial" w:hAnsi="Arial" w:eastAsia="Arial" w:cs="Arial"/>
      <w:sz w:val="34"/>
    </w:rPr>
  </w:style>
  <w:style w:type="character" w:customStyle="1" w:styleId="48">
    <w:name w:val="Heading 3 Char"/>
    <w:link w:val="4"/>
    <w:qFormat/>
    <w:uiPriority w:val="9"/>
    <w:rPr>
      <w:rFonts w:ascii="Arial" w:hAnsi="Arial" w:eastAsia="Arial" w:cs="Arial"/>
      <w:sz w:val="30"/>
      <w:szCs w:val="30"/>
    </w:rPr>
  </w:style>
  <w:style w:type="character" w:customStyle="1" w:styleId="49">
    <w:name w:val="Heading 4 Char"/>
    <w:link w:val="5"/>
    <w:qFormat/>
    <w:uiPriority w:val="9"/>
    <w:rPr>
      <w:rFonts w:ascii="Arial" w:hAnsi="Arial" w:eastAsia="Arial" w:cs="Arial"/>
      <w:b/>
      <w:bCs/>
      <w:sz w:val="26"/>
      <w:szCs w:val="26"/>
    </w:rPr>
  </w:style>
  <w:style w:type="character" w:customStyle="1" w:styleId="50">
    <w:name w:val="Heading 5 Char"/>
    <w:link w:val="6"/>
    <w:qFormat/>
    <w:uiPriority w:val="9"/>
    <w:rPr>
      <w:rFonts w:ascii="Arial" w:hAnsi="Arial" w:eastAsia="Arial" w:cs="Arial"/>
      <w:b/>
      <w:bCs/>
      <w:sz w:val="24"/>
      <w:szCs w:val="24"/>
    </w:rPr>
  </w:style>
  <w:style w:type="character" w:customStyle="1" w:styleId="51">
    <w:name w:val="Heading 6 Char"/>
    <w:link w:val="7"/>
    <w:qFormat/>
    <w:uiPriority w:val="9"/>
    <w:rPr>
      <w:rFonts w:ascii="Arial" w:hAnsi="Arial" w:eastAsia="Arial" w:cs="Arial"/>
      <w:b/>
      <w:bCs/>
      <w:sz w:val="22"/>
      <w:szCs w:val="22"/>
    </w:rPr>
  </w:style>
  <w:style w:type="character" w:customStyle="1" w:styleId="52">
    <w:name w:val="Heading 7 Char"/>
    <w:link w:val="8"/>
    <w:qFormat/>
    <w:uiPriority w:val="9"/>
    <w:rPr>
      <w:rFonts w:ascii="Arial" w:hAnsi="Arial" w:eastAsia="Arial" w:cs="Arial"/>
      <w:b/>
      <w:bCs/>
      <w:i/>
      <w:iCs/>
      <w:sz w:val="22"/>
      <w:szCs w:val="22"/>
    </w:rPr>
  </w:style>
  <w:style w:type="character" w:customStyle="1" w:styleId="53">
    <w:name w:val="Heading 8 Char"/>
    <w:link w:val="9"/>
    <w:qFormat/>
    <w:uiPriority w:val="9"/>
    <w:rPr>
      <w:rFonts w:ascii="Arial" w:hAnsi="Arial" w:eastAsia="Arial" w:cs="Arial"/>
      <w:i/>
      <w:iCs/>
      <w:sz w:val="22"/>
      <w:szCs w:val="22"/>
    </w:rPr>
  </w:style>
  <w:style w:type="character" w:customStyle="1" w:styleId="54">
    <w:name w:val="Heading 9 Char"/>
    <w:link w:val="10"/>
    <w:qFormat/>
    <w:uiPriority w:val="9"/>
    <w:rPr>
      <w:rFonts w:ascii="Arial" w:hAnsi="Arial" w:eastAsia="Arial" w:cs="Arial"/>
      <w:i/>
      <w:iCs/>
      <w:sz w:val="21"/>
      <w:szCs w:val="21"/>
    </w:rPr>
  </w:style>
  <w:style w:type="paragraph" w:customStyle="1" w:styleId="55">
    <w:name w:val="List Paragraph"/>
    <w:basedOn w:val="1"/>
    <w:qFormat/>
    <w:uiPriority w:val="34"/>
    <w:pPr>
      <w:ind w:left="720"/>
      <w:contextualSpacing/>
    </w:pPr>
  </w:style>
  <w:style w:type="paragraph" w:customStyle="1"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link w:val="32"/>
    <w:qFormat/>
    <w:uiPriority w:val="10"/>
    <w:rPr>
      <w:sz w:val="48"/>
      <w:szCs w:val="48"/>
    </w:rPr>
  </w:style>
  <w:style w:type="character" w:customStyle="1" w:styleId="58">
    <w:name w:val="Subtitle Char"/>
    <w:link w:val="25"/>
    <w:qFormat/>
    <w:uiPriority w:val="11"/>
    <w:rPr>
      <w:sz w:val="24"/>
      <w:szCs w:val="24"/>
    </w:rPr>
  </w:style>
  <w:style w:type="paragraph" w:customStyle="1"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customStyle="1"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link w:val="22"/>
    <w:qFormat/>
    <w:uiPriority w:val="99"/>
  </w:style>
  <w:style w:type="character" w:customStyle="1" w:styleId="64">
    <w:name w:val="Footer Char"/>
    <w:link w:val="21"/>
    <w:qFormat/>
    <w:uiPriority w:val="99"/>
  </w:style>
  <w:style w:type="character" w:customStyle="1" w:styleId="65">
    <w:name w:val="Caption Char"/>
    <w:link w:val="21"/>
    <w:qFormat/>
    <w:uiPriority w:val="99"/>
  </w:style>
  <w:style w:type="table" w:customStyle="1" w:styleId="6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26"/>
    <w:qFormat/>
    <w:uiPriority w:val="99"/>
    <w:rPr>
      <w:sz w:val="18"/>
    </w:rPr>
  </w:style>
  <w:style w:type="character" w:customStyle="1" w:styleId="192">
    <w:name w:val="Endnote Text Char"/>
    <w:link w:val="20"/>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标题 11"/>
    <w:basedOn w:val="1"/>
    <w:next w:val="1"/>
    <w:link w:val="206"/>
    <w:qFormat/>
    <w:uiPriority w:val="99"/>
    <w:pPr>
      <w:keepNext/>
      <w:jc w:val="center"/>
      <w:outlineLvl w:val="0"/>
    </w:pPr>
    <w:rPr>
      <w:rFonts w:ascii="楷体_GB2312" w:hAnsi="Times New Roman" w:eastAsia="楷体_GB2312" w:cs="Times New Roman"/>
      <w:sz w:val="28"/>
      <w:szCs w:val="28"/>
    </w:rPr>
  </w:style>
  <w:style w:type="paragraph" w:customStyle="1" w:styleId="195">
    <w:name w:val="标题 21"/>
    <w:basedOn w:val="1"/>
    <w:next w:val="196"/>
    <w:link w:val="207"/>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6">
    <w:name w:val="正文缩进1"/>
    <w:basedOn w:val="1"/>
    <w:link w:val="208"/>
    <w:qFormat/>
    <w:uiPriority w:val="0"/>
    <w:pPr>
      <w:ind w:firstLine="420"/>
    </w:pPr>
    <w:rPr>
      <w:rFonts w:ascii="Times New Roman" w:hAnsi="Times New Roman" w:eastAsia="宋体"/>
      <w:sz w:val="20"/>
      <w:szCs w:val="21"/>
    </w:rPr>
  </w:style>
  <w:style w:type="paragraph" w:customStyle="1" w:styleId="197">
    <w:name w:val="标题 31"/>
    <w:basedOn w:val="1"/>
    <w:next w:val="196"/>
    <w:link w:val="209"/>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98">
    <w:name w:val="标题 411"/>
    <w:basedOn w:val="1"/>
    <w:next w:val="1"/>
    <w:link w:val="210"/>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9">
    <w:name w:val="标题 51"/>
    <w:basedOn w:val="1"/>
    <w:next w:val="196"/>
    <w:link w:val="211"/>
    <w:qFormat/>
    <w:uiPriority w:val="0"/>
    <w:pPr>
      <w:keepNext/>
      <w:outlineLvl w:val="4"/>
    </w:pPr>
    <w:rPr>
      <w:rFonts w:ascii="宋体" w:hAnsi="Times New Roman" w:eastAsia="宋体" w:cs="Times New Roman"/>
      <w:color w:val="000000"/>
      <w:sz w:val="28"/>
      <w:szCs w:val="28"/>
    </w:rPr>
  </w:style>
  <w:style w:type="paragraph" w:customStyle="1" w:styleId="200">
    <w:name w:val="标题 61"/>
    <w:basedOn w:val="1"/>
    <w:next w:val="1"/>
    <w:link w:val="212"/>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201">
    <w:name w:val="标题 71"/>
    <w:basedOn w:val="1"/>
    <w:next w:val="1"/>
    <w:link w:val="213"/>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202">
    <w:name w:val="标题 81"/>
    <w:basedOn w:val="1"/>
    <w:next w:val="1"/>
    <w:link w:val="214"/>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203">
    <w:name w:val="标题 91"/>
    <w:basedOn w:val="1"/>
    <w:next w:val="1"/>
    <w:link w:val="215"/>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204">
    <w:name w:val="默认段落字体1"/>
    <w:link w:val="1"/>
    <w:unhideWhenUsed/>
    <w:qFormat/>
    <w:uiPriority w:val="1"/>
  </w:style>
  <w:style w:type="table" w:customStyle="1" w:styleId="205">
    <w:name w:val="普通表格1"/>
    <w:unhideWhenUsed/>
    <w:qFormat/>
    <w:uiPriority w:val="99"/>
  </w:style>
  <w:style w:type="character" w:customStyle="1" w:styleId="206">
    <w:name w:val="标题 1 Char"/>
    <w:link w:val="194"/>
    <w:qFormat/>
    <w:uiPriority w:val="99"/>
    <w:rPr>
      <w:rFonts w:ascii="楷体_GB2312" w:hAnsi="Times New Roman" w:eastAsia="楷体_GB2312" w:cs="Times New Roman"/>
      <w:sz w:val="28"/>
      <w:szCs w:val="28"/>
    </w:rPr>
  </w:style>
  <w:style w:type="character" w:customStyle="1" w:styleId="207">
    <w:name w:val="标题 2 Char"/>
    <w:link w:val="195"/>
    <w:qFormat/>
    <w:uiPriority w:val="0"/>
    <w:rPr>
      <w:rFonts w:ascii="Arial" w:hAnsi="Arial" w:eastAsia="幼圆" w:cs="Arial"/>
      <w:b/>
      <w:bCs/>
      <w:sz w:val="44"/>
      <w:szCs w:val="44"/>
    </w:rPr>
  </w:style>
  <w:style w:type="character" w:customStyle="1" w:styleId="208">
    <w:name w:val="正文缩进 Char"/>
    <w:link w:val="196"/>
    <w:qFormat/>
    <w:uiPriority w:val="0"/>
    <w:rPr>
      <w:rFonts w:ascii="Times New Roman" w:hAnsi="Times New Roman" w:eastAsia="宋体" w:cs="Times New Roman"/>
      <w:szCs w:val="21"/>
    </w:rPr>
  </w:style>
  <w:style w:type="character" w:customStyle="1" w:styleId="209">
    <w:name w:val="标题 3 Char"/>
    <w:link w:val="197"/>
    <w:qFormat/>
    <w:uiPriority w:val="0"/>
    <w:rPr>
      <w:rFonts w:ascii="Times New Roman" w:hAnsi="Times New Roman" w:eastAsia="宋体" w:cs="Times New Roman"/>
      <w:b/>
      <w:bCs/>
      <w:sz w:val="32"/>
      <w:szCs w:val="32"/>
    </w:rPr>
  </w:style>
  <w:style w:type="character" w:customStyle="1" w:styleId="210">
    <w:name w:val="标题 4 Char"/>
    <w:link w:val="198"/>
    <w:qFormat/>
    <w:uiPriority w:val="0"/>
    <w:rPr>
      <w:rFonts w:ascii="Arial" w:hAnsi="Arial" w:eastAsia="黑体" w:cs="Arial"/>
      <w:b/>
      <w:bCs/>
      <w:sz w:val="28"/>
      <w:szCs w:val="28"/>
    </w:rPr>
  </w:style>
  <w:style w:type="character" w:customStyle="1" w:styleId="211">
    <w:name w:val="标题 5 Char"/>
    <w:link w:val="199"/>
    <w:qFormat/>
    <w:uiPriority w:val="0"/>
    <w:rPr>
      <w:rFonts w:ascii="宋体" w:hAnsi="Times New Roman" w:eastAsia="宋体" w:cs="Times New Roman"/>
      <w:color w:val="000000"/>
      <w:sz w:val="28"/>
      <w:szCs w:val="28"/>
    </w:rPr>
  </w:style>
  <w:style w:type="character" w:customStyle="1" w:styleId="212">
    <w:name w:val="标题 6 Char"/>
    <w:link w:val="200"/>
    <w:qFormat/>
    <w:uiPriority w:val="0"/>
    <w:rPr>
      <w:rFonts w:ascii="Arial" w:hAnsi="Arial" w:eastAsia="黑体" w:cs="Times New Roman"/>
      <w:b/>
      <w:bCs/>
      <w:sz w:val="24"/>
      <w:szCs w:val="24"/>
    </w:rPr>
  </w:style>
  <w:style w:type="character" w:customStyle="1" w:styleId="213">
    <w:name w:val="标题 7 Char"/>
    <w:link w:val="201"/>
    <w:qFormat/>
    <w:uiPriority w:val="0"/>
    <w:rPr>
      <w:rFonts w:ascii="Times New Roman" w:hAnsi="Times New Roman" w:eastAsia="宋体" w:cs="Times New Roman"/>
      <w:b/>
      <w:bCs/>
      <w:sz w:val="24"/>
      <w:szCs w:val="24"/>
    </w:rPr>
  </w:style>
  <w:style w:type="character" w:customStyle="1" w:styleId="214">
    <w:name w:val="标题 8 Char"/>
    <w:link w:val="202"/>
    <w:qFormat/>
    <w:uiPriority w:val="0"/>
    <w:rPr>
      <w:rFonts w:ascii="Arial" w:hAnsi="Arial" w:eastAsia="黑体" w:cs="Times New Roman"/>
      <w:sz w:val="24"/>
      <w:szCs w:val="24"/>
    </w:rPr>
  </w:style>
  <w:style w:type="character" w:customStyle="1" w:styleId="215">
    <w:name w:val="标题 9 Char"/>
    <w:link w:val="203"/>
    <w:qFormat/>
    <w:uiPriority w:val="0"/>
    <w:rPr>
      <w:rFonts w:ascii="Arial" w:hAnsi="Arial" w:eastAsia="黑体" w:cs="Times New Roman"/>
      <w:szCs w:val="21"/>
    </w:rPr>
  </w:style>
  <w:style w:type="paragraph" w:customStyle="1" w:styleId="216">
    <w:name w:val="列表 31"/>
    <w:basedOn w:val="1"/>
    <w:qFormat/>
    <w:uiPriority w:val="0"/>
    <w:pPr>
      <w:ind w:left="100" w:hanging="200"/>
    </w:pPr>
    <w:rPr>
      <w:rFonts w:ascii="Times New Roman" w:hAnsi="Times New Roman" w:eastAsia="宋体" w:cs="Times New Roman"/>
      <w:szCs w:val="21"/>
    </w:rPr>
  </w:style>
  <w:style w:type="paragraph" w:customStyle="1" w:styleId="217">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18">
    <w:name w:val="文档结构图11"/>
    <w:basedOn w:val="1"/>
    <w:link w:val="219"/>
    <w:qFormat/>
    <w:uiPriority w:val="0"/>
    <w:pPr>
      <w:shd w:val="clear" w:color="auto" w:fill="000080"/>
    </w:pPr>
    <w:rPr>
      <w:rFonts w:ascii="Times New Roman" w:hAnsi="Times New Roman" w:eastAsia="宋体" w:cs="Times New Roman"/>
      <w:szCs w:val="21"/>
    </w:rPr>
  </w:style>
  <w:style w:type="character" w:customStyle="1" w:styleId="219">
    <w:name w:val="文档结构图 Char"/>
    <w:link w:val="218"/>
    <w:qFormat/>
    <w:uiPriority w:val="0"/>
    <w:rPr>
      <w:rFonts w:ascii="Times New Roman" w:hAnsi="Times New Roman" w:eastAsia="宋体" w:cs="Times New Roman"/>
      <w:szCs w:val="21"/>
      <w:shd w:val="clear" w:color="auto" w:fill="000080"/>
    </w:rPr>
  </w:style>
  <w:style w:type="paragraph" w:customStyle="1" w:styleId="220">
    <w:name w:val="批注文字1"/>
    <w:basedOn w:val="1"/>
    <w:link w:val="221"/>
    <w:semiHidden/>
    <w:qFormat/>
    <w:uiPriority w:val="0"/>
    <w:pPr>
      <w:jc w:val="left"/>
    </w:pPr>
    <w:rPr>
      <w:rFonts w:ascii="Times New Roman" w:hAnsi="Times New Roman" w:eastAsia="宋体" w:cs="Times New Roman"/>
      <w:szCs w:val="21"/>
    </w:rPr>
  </w:style>
  <w:style w:type="character" w:customStyle="1" w:styleId="221">
    <w:name w:val="批注文字 Char"/>
    <w:link w:val="220"/>
    <w:semiHidden/>
    <w:qFormat/>
    <w:uiPriority w:val="0"/>
    <w:rPr>
      <w:rFonts w:ascii="Times New Roman" w:hAnsi="Times New Roman" w:eastAsia="宋体" w:cs="Times New Roman"/>
      <w:szCs w:val="21"/>
    </w:rPr>
  </w:style>
  <w:style w:type="paragraph" w:customStyle="1" w:styleId="222">
    <w:name w:val="正文文本 31"/>
    <w:basedOn w:val="1"/>
    <w:link w:val="223"/>
    <w:qFormat/>
    <w:uiPriority w:val="0"/>
    <w:rPr>
      <w:rFonts w:ascii="仿宋_GB2312" w:hAnsi="Arial" w:eastAsia="仿宋_GB2312" w:cs="Times New Roman"/>
      <w:sz w:val="32"/>
      <w:szCs w:val="32"/>
    </w:rPr>
  </w:style>
  <w:style w:type="character" w:customStyle="1" w:styleId="223">
    <w:name w:val="正文文本 3 Char"/>
    <w:link w:val="222"/>
    <w:qFormat/>
    <w:uiPriority w:val="0"/>
    <w:rPr>
      <w:rFonts w:ascii="仿宋_GB2312" w:hAnsi="Arial" w:eastAsia="仿宋_GB2312" w:cs="Times New Roman"/>
      <w:sz w:val="32"/>
      <w:szCs w:val="32"/>
    </w:rPr>
  </w:style>
  <w:style w:type="character" w:customStyle="1" w:styleId="224">
    <w:name w:val="正文文本 Char1"/>
    <w:link w:val="45"/>
    <w:qFormat/>
    <w:uiPriority w:val="99"/>
    <w:rPr>
      <w:rFonts w:ascii="楷体_GB2312" w:hAnsi="Arial" w:eastAsia="楷体_GB2312" w:cs="Times New Roman"/>
      <w:sz w:val="28"/>
      <w:szCs w:val="28"/>
    </w:rPr>
  </w:style>
  <w:style w:type="paragraph" w:customStyle="1" w:styleId="225">
    <w:name w:val="正文文本缩进1"/>
    <w:basedOn w:val="1"/>
    <w:next w:val="1"/>
    <w:link w:val="227"/>
    <w:qFormat/>
    <w:uiPriority w:val="0"/>
    <w:pPr>
      <w:ind w:firstLine="645"/>
    </w:pPr>
    <w:rPr>
      <w:rFonts w:ascii="楷体_GB2312" w:hAnsi="Times New Roman" w:eastAsia="楷体_GB2312" w:cs="Times New Roman"/>
      <w:sz w:val="32"/>
      <w:szCs w:val="32"/>
    </w:rPr>
  </w:style>
  <w:style w:type="paragraph" w:customStyle="1" w:styleId="226">
    <w:name w:val="寄信人地址1"/>
    <w:basedOn w:val="1"/>
    <w:qFormat/>
    <w:uiPriority w:val="0"/>
    <w:rPr>
      <w:rFonts w:ascii="Arial" w:hAnsi="Arial" w:eastAsia="宋体" w:cs="Times New Roman"/>
      <w:szCs w:val="21"/>
    </w:rPr>
  </w:style>
  <w:style w:type="character" w:customStyle="1" w:styleId="227">
    <w:name w:val="正文文本缩进 Char"/>
    <w:link w:val="225"/>
    <w:qFormat/>
    <w:uiPriority w:val="0"/>
    <w:rPr>
      <w:rFonts w:ascii="楷体_GB2312" w:hAnsi="Times New Roman" w:eastAsia="楷体_GB2312" w:cs="Times New Roman"/>
      <w:sz w:val="32"/>
      <w:szCs w:val="32"/>
    </w:rPr>
  </w:style>
  <w:style w:type="paragraph" w:customStyle="1" w:styleId="228">
    <w:name w:val="列表 21"/>
    <w:basedOn w:val="1"/>
    <w:qFormat/>
    <w:uiPriority w:val="0"/>
    <w:pPr>
      <w:ind w:left="100" w:hanging="200"/>
    </w:pPr>
    <w:rPr>
      <w:rFonts w:ascii="Times New Roman" w:hAnsi="Times New Roman" w:eastAsia="宋体" w:cs="Times New Roman"/>
      <w:szCs w:val="21"/>
    </w:rPr>
  </w:style>
  <w:style w:type="paragraph" w:customStyle="1" w:styleId="229">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30">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31">
    <w:name w:val="纯文本1"/>
    <w:basedOn w:val="1"/>
    <w:next w:val="1"/>
    <w:link w:val="232"/>
    <w:qFormat/>
    <w:uiPriority w:val="0"/>
    <w:rPr>
      <w:rFonts w:ascii="宋体" w:hAnsi="Courier New" w:eastAsia="宋体" w:cs="Times New Roman"/>
      <w:szCs w:val="21"/>
    </w:rPr>
  </w:style>
  <w:style w:type="character" w:customStyle="1" w:styleId="232">
    <w:name w:val="纯文本 Char"/>
    <w:link w:val="231"/>
    <w:qFormat/>
    <w:uiPriority w:val="0"/>
    <w:rPr>
      <w:rFonts w:ascii="宋体" w:hAnsi="Courier New" w:eastAsia="宋体" w:cs="Times New Roman"/>
      <w:szCs w:val="21"/>
    </w:rPr>
  </w:style>
  <w:style w:type="paragraph" w:customStyle="1" w:styleId="233">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34">
    <w:name w:val="日期1"/>
    <w:basedOn w:val="1"/>
    <w:next w:val="1"/>
    <w:link w:val="235"/>
    <w:qFormat/>
    <w:uiPriority w:val="0"/>
    <w:rPr>
      <w:rFonts w:ascii="Times New Roman" w:hAnsi="Times New Roman" w:eastAsia="宋体" w:cs="Times New Roman"/>
      <w:sz w:val="24"/>
      <w:szCs w:val="24"/>
    </w:rPr>
  </w:style>
  <w:style w:type="character" w:customStyle="1" w:styleId="235">
    <w:name w:val="日期 Char"/>
    <w:link w:val="234"/>
    <w:qFormat/>
    <w:uiPriority w:val="0"/>
    <w:rPr>
      <w:rFonts w:ascii="Times New Roman" w:hAnsi="Times New Roman" w:eastAsia="宋体" w:cs="Times New Roman"/>
      <w:sz w:val="24"/>
      <w:szCs w:val="24"/>
    </w:rPr>
  </w:style>
  <w:style w:type="paragraph" w:customStyle="1" w:styleId="236">
    <w:name w:val="正文文本缩进 21"/>
    <w:basedOn w:val="1"/>
    <w:link w:val="237"/>
    <w:qFormat/>
    <w:uiPriority w:val="0"/>
    <w:pPr>
      <w:ind w:left="630" w:firstLine="645"/>
    </w:pPr>
    <w:rPr>
      <w:rFonts w:ascii="Arial" w:hAnsi="Arial" w:eastAsia="仿宋_GB2312" w:cs="Arial"/>
      <w:sz w:val="32"/>
      <w:szCs w:val="32"/>
    </w:rPr>
  </w:style>
  <w:style w:type="character" w:customStyle="1" w:styleId="237">
    <w:name w:val="正文文本缩进 2 Char"/>
    <w:link w:val="236"/>
    <w:qFormat/>
    <w:uiPriority w:val="0"/>
    <w:rPr>
      <w:rFonts w:ascii="Arial" w:hAnsi="Arial" w:eastAsia="仿宋_GB2312" w:cs="Arial"/>
      <w:sz w:val="32"/>
      <w:szCs w:val="32"/>
    </w:rPr>
  </w:style>
  <w:style w:type="paragraph" w:customStyle="1" w:styleId="238">
    <w:name w:val="批注框文本1"/>
    <w:basedOn w:val="1"/>
    <w:link w:val="239"/>
    <w:qFormat/>
    <w:uiPriority w:val="0"/>
    <w:rPr>
      <w:rFonts w:ascii="Times New Roman" w:hAnsi="Times New Roman" w:eastAsia="宋体" w:cs="Times New Roman"/>
      <w:sz w:val="18"/>
      <w:szCs w:val="18"/>
    </w:rPr>
  </w:style>
  <w:style w:type="character" w:customStyle="1" w:styleId="239">
    <w:name w:val="批注框文本 Char"/>
    <w:link w:val="238"/>
    <w:qFormat/>
    <w:uiPriority w:val="0"/>
    <w:rPr>
      <w:rFonts w:ascii="Times New Roman" w:hAnsi="Times New Roman" w:eastAsia="宋体" w:cs="Times New Roman"/>
      <w:sz w:val="18"/>
      <w:szCs w:val="18"/>
    </w:rPr>
  </w:style>
  <w:style w:type="paragraph" w:customStyle="1" w:styleId="240">
    <w:name w:val="页脚1"/>
    <w:basedOn w:val="1"/>
    <w:link w:val="241"/>
    <w:qFormat/>
    <w:uiPriority w:val="99"/>
    <w:pPr>
      <w:tabs>
        <w:tab w:val="center" w:pos="4153"/>
        <w:tab w:val="right" w:pos="8306"/>
      </w:tabs>
      <w:jc w:val="left"/>
    </w:pPr>
    <w:rPr>
      <w:rFonts w:ascii="Times New Roman" w:hAnsi="Times New Roman" w:eastAsia="宋体" w:cs="Times New Roman"/>
      <w:sz w:val="18"/>
      <w:szCs w:val="18"/>
    </w:rPr>
  </w:style>
  <w:style w:type="character" w:customStyle="1" w:styleId="241">
    <w:name w:val="页脚 Char"/>
    <w:link w:val="240"/>
    <w:qFormat/>
    <w:uiPriority w:val="99"/>
    <w:rPr>
      <w:rFonts w:ascii="Times New Roman" w:hAnsi="Times New Roman" w:eastAsia="宋体" w:cs="Times New Roman"/>
      <w:sz w:val="18"/>
      <w:szCs w:val="18"/>
    </w:rPr>
  </w:style>
  <w:style w:type="paragraph" w:customStyle="1" w:styleId="242">
    <w:name w:val="页眉1"/>
    <w:basedOn w:val="1"/>
    <w:link w:val="243"/>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43">
    <w:name w:val="页眉 Char"/>
    <w:link w:val="242"/>
    <w:qFormat/>
    <w:uiPriority w:val="99"/>
    <w:rPr>
      <w:rFonts w:ascii="Times New Roman" w:hAnsi="Times New Roman" w:eastAsia="宋体" w:cs="Times New Roman"/>
      <w:sz w:val="18"/>
      <w:szCs w:val="18"/>
    </w:rPr>
  </w:style>
  <w:style w:type="paragraph" w:customStyle="1" w:styleId="244">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45">
    <w:name w:val="目录 41"/>
    <w:basedOn w:val="1"/>
    <w:next w:val="1"/>
    <w:qFormat/>
    <w:uiPriority w:val="0"/>
    <w:pPr>
      <w:ind w:left="630"/>
      <w:jc w:val="left"/>
    </w:pPr>
    <w:rPr>
      <w:rFonts w:ascii="Times New Roman" w:hAnsi="Times New Roman" w:eastAsia="宋体" w:cs="Times New Roman"/>
      <w:szCs w:val="21"/>
    </w:rPr>
  </w:style>
  <w:style w:type="paragraph" w:customStyle="1" w:styleId="246">
    <w:name w:val="列表1"/>
    <w:basedOn w:val="1"/>
    <w:qFormat/>
    <w:uiPriority w:val="0"/>
    <w:pPr>
      <w:ind w:left="200" w:hanging="200"/>
    </w:pPr>
    <w:rPr>
      <w:rFonts w:ascii="Times New Roman" w:hAnsi="Times New Roman" w:eastAsia="宋体" w:cs="Times New Roman"/>
      <w:szCs w:val="21"/>
    </w:rPr>
  </w:style>
  <w:style w:type="paragraph" w:customStyle="1" w:styleId="247">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48">
    <w:name w:val="正文文本缩进 31"/>
    <w:basedOn w:val="1"/>
    <w:link w:val="249"/>
    <w:qFormat/>
    <w:uiPriority w:val="0"/>
    <w:pPr>
      <w:spacing w:line="380" w:lineRule="exact"/>
      <w:ind w:firstLine="645"/>
      <w:jc w:val="left"/>
    </w:pPr>
    <w:rPr>
      <w:rFonts w:ascii="宋体" w:hAnsi="宋体" w:eastAsia="宋体" w:cs="宋体"/>
      <w:color w:val="FFFF00"/>
      <w:sz w:val="24"/>
      <w:szCs w:val="24"/>
    </w:rPr>
  </w:style>
  <w:style w:type="character" w:customStyle="1" w:styleId="249">
    <w:name w:val="正文文本缩进 3 Char"/>
    <w:link w:val="248"/>
    <w:qFormat/>
    <w:uiPriority w:val="0"/>
    <w:rPr>
      <w:rFonts w:ascii="宋体" w:hAnsi="宋体" w:eastAsia="宋体" w:cs="宋体"/>
      <w:color w:val="FFFF00"/>
      <w:sz w:val="24"/>
      <w:szCs w:val="24"/>
      <w:lang w:val="en-US" w:eastAsia="zh-CN" w:bidi="ar-SA"/>
    </w:rPr>
  </w:style>
  <w:style w:type="paragraph" w:customStyle="1" w:styleId="250">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51">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52">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53">
    <w:name w:val="正文文本 21"/>
    <w:basedOn w:val="1"/>
    <w:link w:val="254"/>
    <w:qFormat/>
    <w:uiPriority w:val="0"/>
    <w:pPr>
      <w:widowControl/>
      <w:jc w:val="center"/>
    </w:pPr>
    <w:rPr>
      <w:rFonts w:ascii="楷体_GB2312" w:hAnsi="Times New Roman" w:eastAsia="楷体_GB2312" w:cs="Times New Roman"/>
      <w:sz w:val="28"/>
      <w:szCs w:val="28"/>
    </w:rPr>
  </w:style>
  <w:style w:type="character" w:customStyle="1" w:styleId="254">
    <w:name w:val="正文文本 2 Char"/>
    <w:link w:val="253"/>
    <w:qFormat/>
    <w:uiPriority w:val="0"/>
    <w:rPr>
      <w:rFonts w:ascii="楷体_GB2312" w:hAnsi="Times New Roman" w:eastAsia="楷体_GB2312" w:cs="Times New Roman"/>
      <w:sz w:val="28"/>
      <w:szCs w:val="28"/>
    </w:rPr>
  </w:style>
  <w:style w:type="paragraph" w:customStyle="1" w:styleId="255">
    <w:name w:val="HTML 预设格式1"/>
    <w:basedOn w:val="1"/>
    <w:link w:val="25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Times New Roman"/>
      <w:sz w:val="20"/>
      <w:szCs w:val="20"/>
    </w:rPr>
  </w:style>
  <w:style w:type="character" w:customStyle="1" w:styleId="256">
    <w:name w:val="HTML 预设格式 Char"/>
    <w:link w:val="255"/>
    <w:qFormat/>
    <w:uiPriority w:val="0"/>
    <w:rPr>
      <w:rFonts w:ascii="黑体" w:hAnsi="Courier New" w:eastAsia="黑体" w:cs="Times New Roman"/>
      <w:sz w:val="20"/>
      <w:szCs w:val="20"/>
    </w:rPr>
  </w:style>
  <w:style w:type="paragraph" w:customStyle="1" w:styleId="257">
    <w:name w:val="普通(网站)12"/>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58">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59">
    <w:name w:val="批注主题1"/>
    <w:basedOn w:val="220"/>
    <w:next w:val="220"/>
    <w:link w:val="260"/>
    <w:semiHidden/>
    <w:qFormat/>
    <w:uiPriority w:val="0"/>
    <w:rPr>
      <w:b/>
      <w:bCs/>
    </w:rPr>
  </w:style>
  <w:style w:type="character" w:customStyle="1" w:styleId="260">
    <w:name w:val="批注主题 Char"/>
    <w:link w:val="259"/>
    <w:semiHidden/>
    <w:qFormat/>
    <w:uiPriority w:val="0"/>
    <w:rPr>
      <w:rFonts w:ascii="Times New Roman" w:hAnsi="Times New Roman" w:eastAsia="宋体" w:cs="Times New Roman"/>
      <w:b/>
      <w:bCs/>
      <w:szCs w:val="21"/>
    </w:rPr>
  </w:style>
  <w:style w:type="paragraph" w:customStyle="1" w:styleId="261">
    <w:name w:val="正文首行缩进1"/>
    <w:basedOn w:val="45"/>
    <w:next w:val="1"/>
    <w:link w:val="262"/>
    <w:qFormat/>
    <w:uiPriority w:val="0"/>
    <w:pPr>
      <w:spacing w:line="360" w:lineRule="auto"/>
      <w:ind w:firstLine="200"/>
    </w:pPr>
    <w:rPr>
      <w:rFonts w:ascii="仿宋_GB2312" w:eastAsia="仿宋_GB2312"/>
      <w:sz w:val="30"/>
      <w:szCs w:val="30"/>
    </w:rPr>
  </w:style>
  <w:style w:type="character" w:customStyle="1" w:styleId="262">
    <w:name w:val="正文首行缩进 Char"/>
    <w:link w:val="261"/>
    <w:qFormat/>
    <w:uiPriority w:val="0"/>
    <w:rPr>
      <w:rFonts w:ascii="仿宋_GB2312" w:hAnsi="Arial" w:eastAsia="仿宋_GB2312" w:cs="Times New Roman"/>
      <w:sz w:val="30"/>
      <w:szCs w:val="30"/>
    </w:rPr>
  </w:style>
  <w:style w:type="paragraph" w:customStyle="1" w:styleId="263">
    <w:name w:val="正文首行缩进 21"/>
    <w:basedOn w:val="225"/>
    <w:link w:val="264"/>
    <w:qFormat/>
    <w:uiPriority w:val="0"/>
    <w:pPr>
      <w:spacing w:line="360" w:lineRule="auto"/>
      <w:ind w:firstLine="420"/>
    </w:pPr>
    <w:rPr>
      <w:rFonts w:ascii="宋体" w:hAnsi="宋体" w:eastAsia="宋体"/>
      <w:sz w:val="21"/>
      <w:szCs w:val="20"/>
    </w:rPr>
  </w:style>
  <w:style w:type="character" w:customStyle="1" w:styleId="264">
    <w:name w:val="正文首行缩进 2 Char"/>
    <w:link w:val="263"/>
    <w:qFormat/>
    <w:uiPriority w:val="0"/>
    <w:rPr>
      <w:rFonts w:ascii="宋体" w:hAnsi="宋体" w:eastAsia="宋体" w:cs="Times New Roman"/>
      <w:sz w:val="32"/>
      <w:szCs w:val="20"/>
    </w:rPr>
  </w:style>
  <w:style w:type="table" w:customStyle="1" w:styleId="265">
    <w:name w:val="网格型11"/>
    <w:basedOn w:val="205"/>
    <w:qFormat/>
    <w:uiPriority w:val="0"/>
    <w:pPr>
      <w:widowControl w:val="0"/>
      <w:jc w:val="both"/>
    </w:pPr>
    <w:rPr>
      <w:rFonts w:ascii="Times New Roman" w:hAnsi="Times New Roman" w:eastAsia="宋体" w:cs="Times New Roman"/>
    </w:rPr>
  </w:style>
  <w:style w:type="character" w:customStyle="1" w:styleId="266">
    <w:name w:val="要点1"/>
    <w:link w:val="1"/>
    <w:qFormat/>
    <w:uiPriority w:val="0"/>
    <w:rPr>
      <w:b/>
      <w:bCs/>
    </w:rPr>
  </w:style>
  <w:style w:type="character" w:customStyle="1" w:styleId="267">
    <w:name w:val="页码1"/>
    <w:link w:val="1"/>
    <w:qFormat/>
    <w:uiPriority w:val="0"/>
  </w:style>
  <w:style w:type="character" w:customStyle="1" w:styleId="268">
    <w:name w:val="已访问的超链接1"/>
    <w:link w:val="1"/>
    <w:qFormat/>
    <w:uiPriority w:val="0"/>
    <w:rPr>
      <w:color w:val="800080"/>
      <w:u w:val="single"/>
    </w:rPr>
  </w:style>
  <w:style w:type="character" w:customStyle="1" w:styleId="269">
    <w:name w:val="超链接1"/>
    <w:link w:val="1"/>
    <w:qFormat/>
    <w:uiPriority w:val="0"/>
    <w:rPr>
      <w:color w:val="0000FF"/>
      <w:u w:val="single"/>
    </w:rPr>
  </w:style>
  <w:style w:type="character" w:customStyle="1" w:styleId="270">
    <w:name w:val="批注引用1"/>
    <w:link w:val="1"/>
    <w:semiHidden/>
    <w:qFormat/>
    <w:uiPriority w:val="0"/>
    <w:rPr>
      <w:sz w:val="21"/>
      <w:szCs w:val="21"/>
    </w:rPr>
  </w:style>
  <w:style w:type="paragraph" w:customStyle="1" w:styleId="271">
    <w:name w:val="标题 41"/>
    <w:basedOn w:val="1"/>
    <w:next w:val="1"/>
    <w:qFormat/>
    <w:uiPriority w:val="0"/>
    <w:pPr>
      <w:keepNext/>
      <w:keepLines/>
      <w:spacing w:before="280" w:after="290" w:line="374" w:lineRule="auto"/>
      <w:outlineLvl w:val="3"/>
    </w:pPr>
    <w:rPr>
      <w:rFonts w:ascii="Arial" w:hAnsi="Arial" w:eastAsia="黑体"/>
      <w:b/>
      <w:bCs/>
      <w:sz w:val="28"/>
      <w:szCs w:val="28"/>
    </w:rPr>
  </w:style>
  <w:style w:type="paragraph" w:customStyle="1" w:styleId="272">
    <w:name w:val="_Style 2"/>
    <w:basedOn w:val="1"/>
    <w:qFormat/>
    <w:uiPriority w:val="0"/>
    <w:pPr>
      <w:ind w:firstLine="200"/>
    </w:pPr>
    <w:rPr>
      <w:rFonts w:ascii="Calibri" w:hAnsi="Calibri"/>
      <w:sz w:val="28"/>
    </w:rPr>
  </w:style>
  <w:style w:type="paragraph" w:customStyle="1" w:styleId="273">
    <w:name w:val="文档结构图1"/>
    <w:basedOn w:val="1"/>
    <w:qFormat/>
    <w:uiPriority w:val="0"/>
    <w:pPr>
      <w:shd w:val="clear" w:color="auto" w:fill="000080"/>
    </w:pPr>
    <w:rPr>
      <w:rFonts w:ascii="Times New Roman" w:hAnsi="Times New Roman" w:eastAsia="宋体" w:cs="Times New Roman"/>
    </w:rPr>
  </w:style>
  <w:style w:type="paragraph" w:customStyle="1" w:styleId="274">
    <w:name w:val="一级条标题"/>
    <w:basedOn w:val="275"/>
    <w:next w:val="276"/>
    <w:qFormat/>
    <w:uiPriority w:val="99"/>
    <w:pPr>
      <w:tabs>
        <w:tab w:val="left" w:pos="810"/>
        <w:tab w:val="left" w:pos="907"/>
        <w:tab w:val="left" w:pos="1265"/>
      </w:tabs>
      <w:spacing w:before="0" w:after="0"/>
      <w:ind w:left="907" w:hanging="907"/>
      <w:outlineLvl w:val="2"/>
    </w:pPr>
    <w:rPr>
      <w:rFonts w:hAnsi="宋体"/>
      <w:sz w:val="20"/>
      <w:szCs w:val="20"/>
    </w:rPr>
  </w:style>
  <w:style w:type="paragraph" w:customStyle="1" w:styleId="275">
    <w:name w:val="章标题"/>
    <w:next w:val="1"/>
    <w:qFormat/>
    <w:uiPriority w:val="99"/>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76">
    <w:name w:val="段"/>
    <w:next w:val="1"/>
    <w:qFormat/>
    <w:uiPriority w:val="99"/>
    <w:pPr>
      <w:widowControl w:val="0"/>
      <w:ind w:firstLine="200"/>
      <w:jc w:val="both"/>
    </w:pPr>
    <w:rPr>
      <w:rFonts w:hint="default" w:ascii="宋体" w:hAnsi="宋体" w:eastAsia="宋体" w:cs="宋体"/>
      <w:color w:val="000000"/>
      <w:sz w:val="21"/>
      <w:szCs w:val="21"/>
      <w:lang w:val="en-US" w:eastAsia="zh-CN" w:bidi="ar-SA"/>
    </w:rPr>
  </w:style>
  <w:style w:type="paragraph" w:customStyle="1" w:styleId="277">
    <w:name w:val="正文 A"/>
    <w:next w:val="276"/>
    <w:qFormat/>
    <w:uiPriority w:val="0"/>
    <w:pPr>
      <w:widowControl w:val="0"/>
      <w:pBdr>
        <w:top w:val="none" w:color="FFFFFF" w:sz="0" w:space="31"/>
        <w:left w:val="none" w:color="FFFFFF" w:sz="0" w:space="31"/>
        <w:bottom w:val="none" w:color="FFFFFF" w:sz="0" w:space="31"/>
        <w:right w:val="none" w:color="FFFFFF" w:sz="0" w:space="31"/>
      </w:pBdr>
      <w:jc w:val="both"/>
    </w:pPr>
    <w:rPr>
      <w:rFonts w:hint="default" w:ascii="Times New Roman" w:hAnsi="Times New Roman" w:eastAsia="宋体" w:cs="Times New Roman"/>
      <w:color w:val="000000"/>
      <w:sz w:val="21"/>
      <w:szCs w:val="21"/>
      <w:lang w:val="en-US" w:eastAsia="zh-CN" w:bidi="ar-SA"/>
    </w:rPr>
  </w:style>
  <w:style w:type="paragraph" w:customStyle="1" w:styleId="278">
    <w:name w:val="BodyText1"/>
    <w:basedOn w:val="1"/>
    <w:next w:val="1"/>
    <w:qFormat/>
    <w:uiPriority w:val="0"/>
    <w:rPr>
      <w:rFonts w:ascii="楷体_GB2312" w:hAnsi="Arial" w:eastAsia="楷体_GB2312" w:cs="Times New Roman"/>
      <w:sz w:val="28"/>
      <w:szCs w:val="28"/>
    </w:rPr>
  </w:style>
  <w:style w:type="paragraph" w:customStyle="1" w:styleId="279">
    <w:name w:val="BodyText21"/>
    <w:basedOn w:val="1"/>
    <w:qFormat/>
    <w:uiPriority w:val="0"/>
    <w:pPr>
      <w:jc w:val="center"/>
    </w:pPr>
    <w:rPr>
      <w:rFonts w:ascii="楷体_GB2312" w:hAnsi="Times New Roman" w:eastAsia="楷体_GB2312" w:cs="Times New Roman"/>
      <w:sz w:val="28"/>
      <w:szCs w:val="28"/>
    </w:rPr>
  </w:style>
  <w:style w:type="character" w:customStyle="1" w:styleId="280">
    <w:name w:val="font5 Char"/>
    <w:link w:val="1"/>
    <w:qFormat/>
    <w:uiPriority w:val="0"/>
    <w:rPr>
      <w:rFonts w:ascii="宋体" w:hAnsi="宋体" w:eastAsia="宋体"/>
      <w:sz w:val="28"/>
      <w:szCs w:val="28"/>
      <w:lang w:val="en-US" w:eastAsia="zh-CN" w:bidi="ar-SA"/>
    </w:rPr>
  </w:style>
  <w:style w:type="character" w:customStyle="1" w:styleId="281">
    <w:name w:val="普通正文 Char"/>
    <w:link w:val="282"/>
    <w:qFormat/>
    <w:uiPriority w:val="0"/>
    <w:rPr>
      <w:rFonts w:ascii="Arial" w:hAnsi="Arial"/>
      <w:sz w:val="24"/>
      <w:szCs w:val="24"/>
    </w:rPr>
  </w:style>
  <w:style w:type="paragraph" w:customStyle="1" w:styleId="282">
    <w:name w:val="普通正文"/>
    <w:basedOn w:val="1"/>
    <w:link w:val="281"/>
    <w:qFormat/>
    <w:uiPriority w:val="0"/>
    <w:pPr>
      <w:spacing w:before="120" w:after="120" w:line="360" w:lineRule="auto"/>
      <w:ind w:firstLine="480"/>
      <w:jc w:val="left"/>
    </w:pPr>
    <w:rPr>
      <w:rFonts w:ascii="Arial" w:hAnsi="Arial"/>
      <w:sz w:val="24"/>
      <w:szCs w:val="24"/>
    </w:rPr>
  </w:style>
  <w:style w:type="character" w:customStyle="1" w:styleId="283">
    <w:name w:val="二级目录 Char"/>
    <w:link w:val="284"/>
    <w:qFormat/>
    <w:uiPriority w:val="0"/>
    <w:rPr>
      <w:b/>
      <w:sz w:val="30"/>
      <w:szCs w:val="28"/>
      <w:lang w:val="en-US" w:eastAsia="zh-CN" w:bidi="ar-SA"/>
    </w:rPr>
  </w:style>
  <w:style w:type="paragraph" w:customStyle="1" w:styleId="284">
    <w:name w:val="二级目录"/>
    <w:next w:val="1"/>
    <w:link w:val="283"/>
    <w:qFormat/>
    <w:uiPriority w:val="0"/>
    <w:pPr>
      <w:numPr>
        <w:ilvl w:val="0"/>
        <w:numId w:val="2"/>
      </w:numPr>
      <w:tabs>
        <w:tab w:val="left" w:pos="1145"/>
        <w:tab w:val="clear" w:pos="907"/>
      </w:tabs>
      <w:outlineLvl w:val="1"/>
    </w:pPr>
    <w:rPr>
      <w:rFonts w:hint="default" w:ascii="Times New Roman" w:hAnsi="Times New Roman" w:eastAsia="宋体" w:cs="Times New Roman"/>
      <w:b/>
      <w:sz w:val="30"/>
      <w:szCs w:val="28"/>
      <w:lang w:val="en-US" w:eastAsia="zh-CN" w:bidi="ar-SA"/>
    </w:rPr>
  </w:style>
  <w:style w:type="character" w:customStyle="1" w:styleId="285">
    <w:name w:val="apple-converted-space"/>
    <w:link w:val="1"/>
    <w:qFormat/>
    <w:uiPriority w:val="99"/>
  </w:style>
  <w:style w:type="character" w:customStyle="1" w:styleId="286">
    <w:name w:val="列出段落 Char"/>
    <w:link w:val="287"/>
    <w:qFormat/>
    <w:uiPriority w:val="0"/>
    <w:rPr>
      <w:rFonts w:ascii="Calibri" w:hAnsi="Calibri"/>
      <w:sz w:val="24"/>
      <w:szCs w:val="24"/>
      <w:lang w:eastAsia="en-US" w:bidi="en-US"/>
    </w:rPr>
  </w:style>
  <w:style w:type="paragraph" w:customStyle="1" w:styleId="287">
    <w:name w:val="列出段落1"/>
    <w:basedOn w:val="1"/>
    <w:link w:val="286"/>
    <w:qFormat/>
    <w:uiPriority w:val="0"/>
    <w:pPr>
      <w:widowControl/>
      <w:ind w:left="720"/>
      <w:contextualSpacing/>
      <w:jc w:val="left"/>
    </w:pPr>
    <w:rPr>
      <w:rFonts w:ascii="Calibri" w:hAnsi="Calibri"/>
      <w:sz w:val="24"/>
      <w:szCs w:val="24"/>
      <w:lang w:eastAsia="en-US" w:bidi="en-US"/>
    </w:rPr>
  </w:style>
  <w:style w:type="character" w:customStyle="1" w:styleId="288">
    <w:name w:val="Char Char Char Char Char"/>
    <w:link w:val="289"/>
    <w:qFormat/>
    <w:uiPriority w:val="0"/>
    <w:rPr>
      <w:rFonts w:ascii="Tahoma" w:hAnsi="Tahoma" w:eastAsia="宋体"/>
      <w:sz w:val="24"/>
      <w:szCs w:val="24"/>
      <w:shd w:val="clear" w:color="auto" w:fill="000080"/>
    </w:rPr>
  </w:style>
  <w:style w:type="paragraph" w:customStyle="1" w:styleId="289">
    <w:name w:val="Char Char Char Char"/>
    <w:basedOn w:val="218"/>
    <w:link w:val="288"/>
    <w:qFormat/>
    <w:uiPriority w:val="0"/>
    <w:pPr>
      <w:spacing w:line="360" w:lineRule="auto"/>
    </w:pPr>
    <w:rPr>
      <w:rFonts w:ascii="Tahoma" w:hAnsi="Tahoma"/>
      <w:sz w:val="24"/>
      <w:szCs w:val="24"/>
    </w:rPr>
  </w:style>
  <w:style w:type="paragraph" w:customStyle="1" w:styleId="290">
    <w:name w:val="4"/>
    <w:basedOn w:val="1"/>
    <w:next w:val="248"/>
    <w:qFormat/>
    <w:uiPriority w:val="99"/>
    <w:pPr>
      <w:spacing w:line="360" w:lineRule="auto"/>
      <w:ind w:firstLine="420"/>
    </w:pPr>
    <w:rPr>
      <w:rFonts w:ascii="Times New Roman" w:hAnsi="Times New Roman" w:eastAsia="宋体" w:cs="Times New Roman"/>
      <w:color w:val="FF0000"/>
      <w:sz w:val="24"/>
      <w:szCs w:val="24"/>
    </w:rPr>
  </w:style>
  <w:style w:type="paragraph" w:customStyle="1" w:styleId="291">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92">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93">
    <w:name w:val="样式1"/>
    <w:basedOn w:val="1"/>
    <w:qFormat/>
    <w:uiPriority w:val="0"/>
    <w:pPr>
      <w:numPr>
        <w:ilvl w:val="0"/>
        <w:numId w:val="3"/>
      </w:numPr>
    </w:pPr>
    <w:rPr>
      <w:rFonts w:ascii="宋体" w:hAnsi="宋体" w:eastAsia="宋体" w:cs="Times New Roman"/>
      <w:szCs w:val="21"/>
    </w:rPr>
  </w:style>
  <w:style w:type="paragraph" w:customStyle="1" w:styleId="29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5">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6">
    <w:name w:val="Char"/>
    <w:basedOn w:val="218"/>
    <w:qFormat/>
    <w:uiPriority w:val="0"/>
    <w:rPr>
      <w:rFonts w:ascii="Tahoma" w:hAnsi="Tahoma"/>
      <w:sz w:val="24"/>
      <w:szCs w:val="24"/>
    </w:rPr>
  </w:style>
  <w:style w:type="paragraph" w:customStyle="1" w:styleId="297">
    <w:name w:val="列出段落"/>
    <w:basedOn w:val="1"/>
    <w:qFormat/>
    <w:uiPriority w:val="34"/>
    <w:pPr>
      <w:widowControl/>
      <w:ind w:left="720"/>
      <w:contextualSpacing/>
      <w:jc w:val="left"/>
    </w:pPr>
    <w:rPr>
      <w:rFonts w:ascii="Calibri" w:hAnsi="Calibri" w:eastAsia="宋体" w:cs="Times New Roman"/>
      <w:sz w:val="24"/>
      <w:szCs w:val="24"/>
      <w:lang w:eastAsia="en-US" w:bidi="en-US"/>
    </w:rPr>
  </w:style>
  <w:style w:type="paragraph" w:customStyle="1" w:styleId="298">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99">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300">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301">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302">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0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04">
    <w:name w:val="Char Char Char Char Char Char Char Char1"/>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05">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306">
    <w:name w:val="列出段落2"/>
    <w:basedOn w:val="1"/>
    <w:qFormat/>
    <w:uiPriority w:val="0"/>
    <w:pPr>
      <w:ind w:firstLine="420"/>
    </w:pPr>
    <w:rPr>
      <w:rFonts w:ascii="Times New Roman" w:hAnsi="Times New Roman" w:eastAsia="宋体" w:cs="Calibri"/>
      <w:szCs w:val="21"/>
    </w:rPr>
  </w:style>
  <w:style w:type="paragraph" w:customStyle="1" w:styleId="30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0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30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10">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311">
    <w:name w:val="Char Char Char Char1"/>
    <w:basedOn w:val="218"/>
    <w:qFormat/>
    <w:uiPriority w:val="0"/>
    <w:pPr>
      <w:spacing w:line="360" w:lineRule="auto"/>
    </w:pPr>
    <w:rPr>
      <w:rFonts w:ascii="Tahoma" w:hAnsi="Tahoma"/>
      <w:sz w:val="24"/>
      <w:szCs w:val="24"/>
    </w:rPr>
  </w:style>
  <w:style w:type="paragraph" w:customStyle="1" w:styleId="31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313">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31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31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316">
    <w:name w:val="Body Text(ch)"/>
    <w:basedOn w:val="1"/>
    <w:next w:val="45"/>
    <w:qFormat/>
    <w:uiPriority w:val="0"/>
    <w:pPr>
      <w:spacing w:after="120"/>
    </w:pPr>
    <w:rPr>
      <w:rFonts w:ascii="宋体" w:hAnsi="Arial" w:eastAsia="宋体" w:cs="Times New Roman"/>
      <w:bCs/>
      <w:iCs/>
      <w:szCs w:val="24"/>
    </w:rPr>
  </w:style>
  <w:style w:type="paragraph" w:customStyle="1" w:styleId="317">
    <w:name w:val="Char1"/>
    <w:basedOn w:val="1"/>
    <w:qFormat/>
    <w:uiPriority w:val="0"/>
    <w:pPr>
      <w:tabs>
        <w:tab w:val="left" w:pos="360"/>
      </w:tabs>
      <w:ind w:firstLine="200"/>
    </w:pPr>
    <w:rPr>
      <w:rFonts w:ascii="Times New Roman" w:hAnsi="Times New Roman" w:eastAsia="宋体" w:cs="Times New Roman"/>
      <w:sz w:val="28"/>
      <w:szCs w:val="30"/>
    </w:rPr>
  </w:style>
  <w:style w:type="paragraph" w:customStyle="1" w:styleId="318">
    <w:name w:val="TOC 71"/>
    <w:next w:val="1"/>
    <w:qFormat/>
    <w:uiPriority w:val="0"/>
    <w:pPr>
      <w:ind w:left="2550"/>
      <w:jc w:val="both"/>
    </w:pPr>
    <w:rPr>
      <w:rFonts w:hint="default" w:ascii="Times New Roman" w:hAnsi="Times New Roman" w:eastAsia="宋体" w:cs="Times New Roman"/>
      <w:sz w:val="21"/>
      <w:szCs w:val="22"/>
      <w:lang w:val="en-US" w:eastAsia="zh-CN" w:bidi="ar-SA"/>
    </w:rPr>
  </w:style>
  <w:style w:type="character" w:customStyle="1" w:styleId="319">
    <w:name w:val="NormalCharacter1"/>
    <w:link w:val="1"/>
    <w:semiHidden/>
    <w:qFormat/>
    <w:uiPriority w:val="0"/>
  </w:style>
  <w:style w:type="paragraph" w:customStyle="1" w:styleId="320">
    <w:name w:val="PlainText1"/>
    <w:basedOn w:val="1"/>
    <w:qFormat/>
    <w:uiPriority w:val="0"/>
    <w:pPr>
      <w:widowControl/>
    </w:pPr>
    <w:rPr>
      <w:rFonts w:ascii="宋体" w:hAnsi="Courier New" w:eastAsia="宋体" w:cs="Times New Roman"/>
      <w:szCs w:val="21"/>
    </w:rPr>
  </w:style>
  <w:style w:type="paragraph" w:customStyle="1" w:styleId="321">
    <w:name w:val="Table Paragraph"/>
    <w:basedOn w:val="1"/>
    <w:qFormat/>
    <w:uiPriority w:val="0"/>
    <w:rPr>
      <w:rFonts w:ascii="Times New Roman" w:hAnsi="Times New Roman" w:eastAsia="宋体" w:cs="Times New Roman"/>
      <w:szCs w:val="21"/>
    </w:rPr>
  </w:style>
  <w:style w:type="paragraph" w:customStyle="1" w:styleId="322">
    <w:name w:val="标题二、"/>
    <w:basedOn w:val="1"/>
    <w:qFormat/>
    <w:uiPriority w:val="99"/>
    <w:pPr>
      <w:ind w:firstLine="200"/>
      <w:outlineLvl w:val="2"/>
    </w:pPr>
    <w:rPr>
      <w:rFonts w:ascii="Times New Roman" w:hAnsi="Times New Roman" w:eastAsia="宋体" w:cs="Times New Roman"/>
      <w:b/>
      <w:szCs w:val="21"/>
    </w:rPr>
  </w:style>
  <w:style w:type="paragraph" w:customStyle="1" w:styleId="323">
    <w:name w:val="NormalIndent1"/>
    <w:basedOn w:val="1"/>
    <w:qFormat/>
    <w:uiPriority w:val="0"/>
    <w:pPr>
      <w:ind w:firstLine="420"/>
    </w:pPr>
    <w:rPr>
      <w:rFonts w:ascii="Times New Roman" w:hAnsi="Times New Roman" w:eastAsia="宋体" w:cs="Times New Roman"/>
      <w:szCs w:val="20"/>
    </w:rPr>
  </w:style>
  <w:style w:type="table" w:customStyle="1" w:styleId="324">
    <w:name w:val="网格型1"/>
    <w:basedOn w:val="205"/>
    <w:qFormat/>
    <w:uiPriority w:val="59"/>
    <w:rPr>
      <w:rFonts w:ascii="宋体" w:hAnsi="宋体" w:eastAsia="Malgun Gothic" w:cs="Times New Roman"/>
    </w:rPr>
  </w:style>
  <w:style w:type="character" w:customStyle="1" w:styleId="325">
    <w:name w:val="正文文本 Char"/>
    <w:link w:val="1"/>
    <w:qFormat/>
    <w:uiPriority w:val="0"/>
    <w:rPr>
      <w:szCs w:val="24"/>
    </w:rPr>
  </w:style>
  <w:style w:type="paragraph" w:customStyle="1" w:styleId="326">
    <w:name w:val="_Style 9"/>
    <w:basedOn w:val="1"/>
    <w:next w:val="231"/>
    <w:qFormat/>
    <w:uiPriority w:val="0"/>
    <w:rPr>
      <w:rFonts w:ascii="宋体" w:hAnsi="Courier New" w:eastAsia="宋体" w:cs="Times New Roman"/>
      <w:szCs w:val="21"/>
    </w:rPr>
  </w:style>
  <w:style w:type="paragraph" w:customStyle="1" w:styleId="327">
    <w:name w:val="Char Char Char7"/>
    <w:basedOn w:val="1"/>
    <w:qFormat/>
    <w:uiPriority w:val="0"/>
    <w:rPr>
      <w:rFonts w:ascii="仿宋_GB2312" w:hAnsi="Times New Roman" w:eastAsia="仿宋_GB2312" w:cs="仿宋_GB2312"/>
      <w:b/>
      <w:bCs/>
      <w:sz w:val="32"/>
      <w:szCs w:val="32"/>
    </w:rPr>
  </w:style>
  <w:style w:type="paragraph" w:customStyle="1" w:styleId="328">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329">
    <w:name w:val="无间隔"/>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0">
    <w:name w:val="正文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31">
    <w:name w:val="Normal_0"/>
    <w:qFormat/>
    <w:uiPriority w:val="0"/>
    <w:pPr>
      <w:widowControl w:val="0"/>
      <w:jc w:val="both"/>
    </w:pPr>
    <w:rPr>
      <w:rFonts w:hint="default" w:ascii="Calibri" w:hAnsi="Calibri" w:eastAsia="Times New Roman" w:cs="Times New Roman"/>
      <w:sz w:val="24"/>
      <w:szCs w:val="24"/>
      <w:lang w:val="en-US" w:eastAsia="zh-CN" w:bidi="ar-SA"/>
    </w:rPr>
  </w:style>
  <w:style w:type="paragraph" w:customStyle="1" w:styleId="332">
    <w:name w:val="正文1"/>
    <w:qFormat/>
    <w:uiPriority w:val="0"/>
    <w:rPr>
      <w:rFonts w:hint="default" w:ascii="Helvetica" w:hAnsi="Helvetica" w:eastAsia="Arial Unicode MS" w:cs="Arial Unicode MS"/>
      <w:color w:val="000000"/>
      <w:sz w:val="22"/>
      <w:szCs w:val="22"/>
      <w:lang w:val="en-US" w:eastAsia="zh-CN" w:bidi="ar-SA"/>
    </w:rPr>
  </w:style>
  <w:style w:type="character" w:customStyle="1" w:styleId="333">
    <w:name w:val="cf01"/>
    <w:link w:val="1"/>
    <w:qFormat/>
    <w:uiPriority w:val="0"/>
    <w:rPr>
      <w:rFonts w:hint="eastAsia" w:ascii="Microsoft YaHei UI" w:hAnsi="Microsoft YaHei UI" w:eastAsia="Microsoft YaHei UI"/>
      <w:sz w:val="18"/>
      <w:szCs w:val="18"/>
    </w:rPr>
  </w:style>
  <w:style w:type="paragraph" w:customStyle="1" w:styleId="334">
    <w:name w:val="pf0"/>
    <w:basedOn w:val="1"/>
    <w:qFormat/>
    <w:uiPriority w:val="0"/>
    <w:pPr>
      <w:widowControl/>
      <w:spacing w:before="100" w:beforeAutospacing="1" w:after="100" w:afterAutospacing="1"/>
      <w:jc w:val="left"/>
    </w:pPr>
    <w:rPr>
      <w:rFonts w:ascii="宋体" w:hAnsi="宋体" w:eastAsia="宋体" w:cs="宋体"/>
      <w:sz w:val="24"/>
      <w:szCs w:val="24"/>
    </w:rPr>
  </w:style>
  <w:style w:type="table" w:customStyle="1" w:styleId="335">
    <w:name w:val="网格型2"/>
    <w:basedOn w:val="205"/>
    <w:qFormat/>
    <w:uiPriority w:val="59"/>
    <w:rPr>
      <w:rFonts w:ascii="宋体" w:hAnsi="宋体" w:eastAsia="Malgun Gothic" w:cs="Times New Roman"/>
    </w:rPr>
  </w:style>
  <w:style w:type="paragraph" w:customStyle="1" w:styleId="336">
    <w:name w:val="UserStyle_58"/>
    <w:basedOn w:val="1"/>
    <w:qFormat/>
    <w:uiPriority w:val="0"/>
    <w:pPr>
      <w:spacing w:before="120" w:after="120" w:line="360" w:lineRule="auto"/>
      <w:ind w:firstLine="480"/>
      <w:jc w:val="left"/>
    </w:pPr>
    <w:rPr>
      <w:rFonts w:ascii="Arial" w:hAnsi="Arial"/>
      <w:sz w:val="24"/>
      <w:szCs w:val="24"/>
    </w:rPr>
  </w:style>
  <w:style w:type="paragraph" w:customStyle="1" w:styleId="337">
    <w:name w:val="Heading11"/>
    <w:next w:val="1"/>
    <w:qFormat/>
    <w:uiPriority w:val="0"/>
    <w:pPr>
      <w:keepNext/>
      <w:widowControl w:val="0"/>
      <w:jc w:val="both"/>
    </w:pPr>
    <w:rPr>
      <w:rFonts w:hint="default" w:ascii="等线 Light" w:hAnsi="Times New Roman" w:eastAsia="等线 Light" w:cs="Times New Roman"/>
      <w:sz w:val="28"/>
      <w:lang w:val="en-US" w:eastAsia="zh-CN" w:bidi="ar-SA"/>
    </w:rPr>
  </w:style>
  <w:style w:type="paragraph" w:customStyle="1" w:styleId="338">
    <w:name w:val="普通(网站)11"/>
    <w:basedOn w:val="1"/>
    <w:unhideWhenUsed/>
    <w:qFormat/>
    <w:uiPriority w:val="0"/>
    <w:pPr>
      <w:widowControl/>
      <w:spacing w:before="100" w:beforeAutospacing="1" w:after="100" w:afterAutospacing="1"/>
      <w:ind w:firstLine="5742"/>
      <w:jc w:val="center"/>
    </w:pPr>
    <w:rPr>
      <w:rFonts w:ascii="等线 Light" w:hAnsi="等线 Light" w:eastAsia="等线 Light"/>
      <w:b/>
      <w:sz w:val="44"/>
    </w:rPr>
  </w:style>
  <w:style w:type="paragraph" w:customStyle="1" w:styleId="339">
    <w:name w:val="普通(网站)1"/>
    <w:basedOn w:val="1"/>
    <w:qFormat/>
    <w:uiPriority w:val="99"/>
    <w:pPr>
      <w:widowControl/>
      <w:spacing w:before="100" w:beforeAutospacing="1" w:after="100" w:afterAutospacing="1"/>
    </w:pPr>
    <w:rPr>
      <w:sz w:val="24"/>
    </w:rPr>
  </w:style>
  <w:style w:type="paragraph" w:customStyle="1" w:styleId="340">
    <w:name w:val="普通(网站)111"/>
    <w:basedOn w:val="1"/>
    <w:qFormat/>
    <w:uiPriority w:val="0"/>
    <w:pPr>
      <w:spacing w:beforeAutospacing="1" w:afterAutospacing="1"/>
    </w:pPr>
    <w:rPr>
      <w:sz w:val="24"/>
    </w:rPr>
  </w:style>
  <w:style w:type="character" w:customStyle="1" w:styleId="341">
    <w:name w:val="s2"/>
    <w:basedOn w:val="40"/>
    <w:link w:val="1"/>
    <w:qFormat/>
    <w:uiPriority w:val="0"/>
    <w:rPr>
      <w:rFonts w:hint="default" w:ascii="Times New Roman" w:hAnsi="Times New Roman" w:eastAsia="宋体" w:cs="Times New Roman"/>
      <w:sz w:val="21"/>
      <w:szCs w:val="22"/>
      <w:lang w:val="en-US" w:eastAsia="zh-CN" w:bidi="ar-SA"/>
    </w:rPr>
  </w:style>
  <w:style w:type="paragraph" w:customStyle="1" w:styleId="342">
    <w:name w:val="纯文本10"/>
    <w:basedOn w:val="1"/>
    <w:qFormat/>
    <w:uiPriority w:val="0"/>
    <w:pPr>
      <w:widowControl/>
      <w:jc w:val="left"/>
    </w:pPr>
    <w:rPr>
      <w:rFonts w:ascii="宋体" w:hAnsi="Courier New"/>
      <w:sz w:val="28"/>
    </w:rPr>
  </w:style>
  <w:style w:type="paragraph" w:customStyle="1" w:styleId="343">
    <w:name w:val="无间隔11"/>
    <w:basedOn w:val="1"/>
    <w:qFormat/>
    <w:uiPriority w:val="0"/>
    <w:pPr>
      <w:spacing w:line="400" w:lineRule="exact"/>
    </w:pPr>
    <w:rPr>
      <w:sz w:val="24"/>
    </w:rPr>
  </w:style>
  <w:style w:type="paragraph" w:customStyle="1" w:styleId="344">
    <w:name w:val="Blockquote"/>
    <w:basedOn w:val="1"/>
    <w:qFormat/>
    <w:uiPriority w:val="0"/>
    <w:pPr>
      <w:spacing w:before="100" w:after="100"/>
      <w:ind w:left="360" w:right="360"/>
      <w:jc w:val="left"/>
    </w:pPr>
    <w:rPr>
      <w:sz w:val="24"/>
      <w:szCs w:val="24"/>
    </w:rPr>
  </w:style>
  <w:style w:type="paragraph" w:customStyle="1" w:styleId="345">
    <w:name w:val="me-正文"/>
    <w:basedOn w:val="1"/>
    <w:qFormat/>
    <w:uiPriority w:val="0"/>
    <w:pPr>
      <w:spacing w:line="579" w:lineRule="exact"/>
      <w:ind w:firstLine="200" w:firstLineChars="200"/>
    </w:pPr>
    <w:rPr>
      <w:rFonts w:eastAsia="方正仿宋_GBK" w:cs="Times New Roman"/>
      <w:sz w:val="32"/>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62</Pages>
  <Words>33974</Words>
  <Characters>35812</Characters>
  <Lines>0</Lines>
  <Paragraphs>0</Paragraphs>
  <TotalTime>7</TotalTime>
  <ScaleCrop>false</ScaleCrop>
  <LinksUpToDate>false</LinksUpToDate>
  <CharactersWithSpaces>38147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2024-12-03T09:12:00Z</dcterms:created>
  <dc:creator>蓉 </dc:creator>
  <cp:lastModifiedBy>倪亮</cp:lastModifiedBy>
  <cp:lastPrinted>2025-11-18T03:26:00Z</cp:lastPrinted>
  <dcterms:modified xsi:type="dcterms:W3CDTF">2025-12-02T01:10:19Z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eyJoZGlkIjoiZGYyNzRiYzg5NzQ4OTFlOWFlYTY0MTQ4Mjk1ODAyMDYiLCJ1c2VySWQiOiI4MzQwMDQ5MjQifQ==</vt:lpwstr>
  </property>
  <property fmtid="{D5CDD505-2E9C-101B-9397-08002B2CF9AE}" pid="3" name="KSOProductBuildVer">
    <vt:lpwstr>2052-12.1.0.24034</vt:lpwstr>
  </property>
  <property fmtid="{D5CDD505-2E9C-101B-9397-08002B2CF9AE}" pid="4" name="ICV">
    <vt:lpwstr>AF42DD27977D455BA4421B1F116CE8C1_13</vt:lpwstr>
  </property>
</Properties>
</file>